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Registration No. 333-292600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March 3, 2026)</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19,580,843 Shares </w:t>
      </w:r>
    </w:p>
    <w:p>
      <w:pPr>
        <w:pStyle w:val="TextBody"/>
        <w:bidi w:val="0"/>
        <w:spacing w:before="0" w:after="180"/>
        <w:jc w:val="center"/>
        <w:rPr/>
      </w:pPr>
      <w:r>
        <w:rPr/>
        <w:drawing>
          <wp:inline distT="0" distB="0" distL="0" distR="0">
            <wp:extent cx="20097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7239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Offered by the Selling Securityholders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March 3, 2026 (the “Prospectus”), relating to the proposed resale or other disposition by the selling securityholders identified in the Prospectus of up to an aggregate of 19,580,843 ordinary shares with a par value of US$0.001 per share (“Ordinary Shares”) of Crescent Biopharma, Inc. (the “Company”), consisting of (i) 13,534,837 outstanding Ordinary Shares issued pursuant to the Private Placement (as defined in the Prospectus), (ii) 131,434 Ordinary Shares issuable upon the exercise of pre-funded warrants issued pursuant to the Private Placement and (iii) 1,387,866 outstanding Ordinary Shares, 1,636,706 Ordinary Shares issuable upon the exercise of pre-funded warrants, and 2,890,000 Ordinary Shares issuable upon the conversion of Series A non-voting convertible preferred shares, in each case, held by Fairmount Healthcare Fund II L.P. as of immediately prior to the closing of the Private Placement, which forms a part of our Registration Statement on Form S-1 (Registration No. 333-292600).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Prospectus with the information contained in our Quarterly Report on Form 10-Q for the quarterly period ended June 30, 2026, filed with the Securities and Exchange Commission on July 30, 2026, and set forth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Ordinary Shares are listed on the Nasdaq Stock Market (“Nasdaq”) under the symbol “CBIO”. On July 29, 2026, the closing sale price of our Ordinary Shares was $14.77 per share.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INVESTING IN OUR SECURITIES INVOLVES RISKS THAT ARE DESCRIBED IN THE “RISK FACTORS” SECTION BEGINNING ON PAGE 9 OF THE PROSPECTUS.</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supplement is July 30, 2026.</w:t>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Commission file number 001-36177</w:t>
      </w:r>
    </w:p>
    <w:p>
      <w:pPr>
        <w:pStyle w:val="TextBody"/>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Crescent Biopharma,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tbl>
      <w:tblPr>
        <w:tblW w:w="8647" w:type="dxa"/>
        <w:jc w:val="left"/>
        <w:tblInd w:w="0" w:type="dxa"/>
        <w:tblLayout w:type="fixed"/>
        <w:tblCellMar>
          <w:top w:w="28" w:type="dxa"/>
          <w:left w:w="28" w:type="dxa"/>
          <w:bottom w:w="28" w:type="dxa"/>
          <w:right w:w="28" w:type="dxa"/>
        </w:tblCellMar>
      </w:tblPr>
      <w:tblGrid>
        <w:gridCol w:w="1795"/>
        <w:gridCol w:w="1581"/>
        <w:gridCol w:w="1588"/>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06-1686563</w:t>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Waltham</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02451</w:t>
            </w:r>
          </w:p>
        </w:tc>
      </w:tr>
      <w:tr>
        <w:trPr/>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(617) 430-5595</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314"/>
        <w:gridCol w:w="1151"/>
        <w:gridCol w:w="1164"/>
        <w:gridCol w:w="539"/>
        <w:gridCol w:w="539"/>
        <w:gridCol w:w="541"/>
        <w:gridCol w:w="1085"/>
        <w:gridCol w:w="1085"/>
        <w:gridCol w:w="1535"/>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CBIO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0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July 27, 2026, there were 37,143,940 of the issuer’s ordinary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4"/>
        <w:gridCol w:w="255"/>
        <w:gridCol w:w="2943"/>
        <w:gridCol w:w="2943"/>
        <w:gridCol w:w="2949"/>
        <w:gridCol w:w="167"/>
        <w:gridCol w:w="167"/>
        <w:gridCol w:w="239"/>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br/>
              <w:t>No.</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6">
              <w:r>
                <w:rPr>
                  <w:rStyle w:val="InternetLink"/>
                  <w:rFonts w:ascii="Times New Roman;serif" w:hAnsi="Times New Roman;serif"/>
                  <w:b/>
                  <w:strike w:val="false"/>
                  <w:dstrike w:val="false"/>
                  <w:color w:val="000080"/>
                  <w:sz w:val="20"/>
                  <w:u w:val="single"/>
                  <w:effect w:val="none"/>
                </w:rPr>
                <w:t>F</w:t>
              </w:r>
            </w:hyperlink>
            <w:hyperlink w:anchor="i0129d220b84b49859782d82925d2b0a1_976">
              <w:r>
                <w:rPr>
                  <w:rStyle w:val="InternetLink"/>
                  <w:rFonts w:ascii="Times New Roman;serif" w:hAnsi="Times New Roman;serif"/>
                  <w:b/>
                  <w:strike w:val="false"/>
                  <w:dstrike w:val="false"/>
                  <w:color w:val="000080"/>
                  <w:sz w:val="20"/>
                  <w:u w:val="single"/>
                  <w:effect w:val="none"/>
                </w:rPr>
                <w:t>orward</w:t>
              </w:r>
            </w:hyperlink>
            <w:hyperlink w:anchor="i0129d220b84b49859782d82925d2b0a1_976">
              <w:r>
                <w:rPr>
                  <w:rStyle w:val="InternetLink"/>
                  <w:rFonts w:ascii="Times New Roman;serif" w:hAnsi="Times New Roman;serif"/>
                  <w:b/>
                  <w:strike w:val="false"/>
                  <w:dstrike w:val="false"/>
                  <w:color w:val="000080"/>
                  <w:sz w:val="20"/>
                  <w:u w:val="single"/>
                  <w:effect w:val="none"/>
                </w:rPr>
                <w:t>-</w:t>
              </w:r>
            </w:hyperlink>
            <w:hyperlink w:anchor="i0129d220b84b49859782d82925d2b0a1_976">
              <w:r>
                <w:rPr>
                  <w:rStyle w:val="InternetLink"/>
                  <w:rFonts w:ascii="Times New Roman;serif" w:hAnsi="Times New Roman;serif"/>
                  <w:b/>
                  <w:strike w:val="false"/>
                  <w:dstrike w:val="false"/>
                  <w:color w:val="000080"/>
                  <w:sz w:val="20"/>
                  <w:u w:val="single"/>
                  <w:effect w:val="none"/>
                </w:rPr>
                <w:t>looking</w:t>
              </w:r>
            </w:hyperlink>
            <w:hyperlink w:anchor="i0129d220b84b49859782d82925d2b0a1_976">
              <w:r>
                <w:rPr>
                  <w:rStyle w:val="InternetLink"/>
                  <w:rFonts w:ascii="Times New Roman;serif" w:hAnsi="Times New Roman;serif"/>
                  <w:b/>
                  <w:strike w:val="false"/>
                  <w:dstrike w:val="false"/>
                  <w:color w:val="000080"/>
                  <w:sz w:val="20"/>
                  <w:u w:val="single"/>
                  <w:effect w:val="none"/>
                </w:rPr>
                <w:t xml:space="preserve">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76">
              <w:r>
                <w:rPr>
                  <w:rStyle w:val="InternetLink"/>
                  <w:rFonts w:ascii="Times New Roman;serif" w:hAnsi="Times New Roman;serif"/>
                  <w:b w:val="false"/>
                  <w:strike w:val="false"/>
                  <w:dstrike w:val="false"/>
                  <w:color w:val="000000"/>
                  <w:sz w:val="20"/>
                  <w:u w:val="none"/>
                  <w:effect w:val="none"/>
                </w:rPr>
                <w:t>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83">
              <w:r>
                <w:rPr>
                  <w:rStyle w:val="InternetLink"/>
                  <w:rFonts w:ascii="Times New Roman;serif" w:hAnsi="Times New Roman;serif"/>
                  <w:b/>
                  <w:strike w:val="false"/>
                  <w:dstrike w:val="false"/>
                  <w:color w:val="000080"/>
                  <w:sz w:val="20"/>
                  <w:u w:val="single"/>
                  <w:effect w:val="none"/>
                </w:rPr>
                <w:t>S</w:t>
              </w:r>
            </w:hyperlink>
            <w:hyperlink w:anchor="i0129d220b84b49859782d82925d2b0a1_983">
              <w:r>
                <w:rPr>
                  <w:rStyle w:val="InternetLink"/>
                  <w:rFonts w:ascii="Times New Roman;serif" w:hAnsi="Times New Roman;serif"/>
                  <w:b/>
                  <w:strike w:val="false"/>
                  <w:dstrike w:val="false"/>
                  <w:color w:val="000080"/>
                  <w:sz w:val="20"/>
                  <w:u w:val="single"/>
                  <w:effect w:val="none"/>
                </w:rPr>
                <w:t>ummary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83">
              <w:r>
                <w:rPr>
                  <w:rStyle w:val="InternetLink"/>
                  <w:rFonts w:ascii="Times New Roman;serif" w:hAnsi="Times New Roman;serif"/>
                  <w:b w:val="false"/>
                  <w:strike w:val="false"/>
                  <w:dstrike w:val="false"/>
                  <w:color w:val="000080"/>
                  <w:sz w:val="20"/>
                  <w:u w:val="single"/>
                  <w:effect w:val="none"/>
                </w:rPr>
                <w:t>i</w:t>
              </w:r>
            </w:hyperlink>
            <w:hyperlink w:anchor="i0129d220b84b49859782d82925d2b0a1_983">
              <w:r>
                <w:rPr>
                  <w:rStyle w:val="InternetLink"/>
                  <w:rFonts w:ascii="Times New Roman;serif" w:hAnsi="Times New Roman;serif"/>
                  <w:b w:val="false"/>
                  <w:strike w:val="false"/>
                  <w:dstrike w:val="false"/>
                  <w:color w:val="000080"/>
                  <w:sz w:val="20"/>
                  <w:u w:val="single"/>
                  <w:effect w:val="none"/>
                </w:rPr>
                <w:t>ii</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
              <w:r>
                <w:rPr>
                  <w:rStyle w:val="InternetLink"/>
                  <w:rFonts w:ascii="Times New Roman;serif" w:hAnsi="Times New Roman;serif"/>
                  <w:b/>
                  <w:strike w:val="false"/>
                  <w:dstrike w:val="false"/>
                  <w:color w:val="000000"/>
                  <w:sz w:val="20"/>
                  <w:u w:val="none"/>
                  <w:effect w:val="none"/>
                </w:rPr>
                <w:t>Part I</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
              <w:r>
                <w:rPr>
                  <w:rStyle w:val="InternetLink"/>
                  <w:rFonts w:ascii="Times New Roman;serif" w:hAnsi="Times New Roman;serif"/>
                  <w:b/>
                  <w:strike w:val="false"/>
                  <w:dstrike w:val="false"/>
                  <w:color w:val="000000"/>
                  <w:sz w:val="20"/>
                  <w:u w:val="none"/>
                  <w:effect w:val="non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3">
              <w:r>
                <w:rPr>
                  <w:rStyle w:val="InternetLink"/>
                  <w:rFonts w:ascii="Times New Roman;serif" w:hAnsi="Times New Roman;serif"/>
                  <w:b/>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3">
              <w:r>
                <w:rPr>
                  <w:rStyle w:val="InternetLink"/>
                  <w:rFonts w:ascii="Times New Roman;serif" w:hAnsi="Times New Roman;serif"/>
                  <w:b/>
                  <w:strike w:val="false"/>
                  <w:dstrike w:val="false"/>
                  <w:color w:val="000000"/>
                  <w:sz w:val="20"/>
                  <w:u w:val="none"/>
                  <w:effect w:val="none"/>
                </w:rPr>
                <w:t>Financial Statements</w:t>
              </w:r>
            </w:hyperlink>
            <w:r>
              <w:rPr>
                <w:rFonts w:ascii="Times New Roman;serif" w:hAnsi="Times New Roman;serif"/>
                <w:b/>
                <w:color w:val="000000"/>
                <w:sz w:val="20"/>
              </w:rPr>
              <w:t xml:space="preserve"> (Unaudited)</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3">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6">
              <w:r>
                <w:rPr>
                  <w:rStyle w:val="InternetLink"/>
                  <w:rFonts w:ascii="Times New Roman;serif" w:hAnsi="Times New Roman;serif"/>
                  <w:b/>
                  <w:strike w:val="false"/>
                  <w:dstrike w:val="false"/>
                  <w:color w:val="000080"/>
                  <w:sz w:val="20"/>
                  <w:u w:val="single"/>
                  <w:effect w:val="none"/>
                </w:rPr>
                <w:t>Condensed Consolidated Balance Sheets</w:t>
              </w:r>
            </w:hyperlink>
            <w:hyperlink w:anchor="i0129d220b84b49859782d82925d2b0a1_16">
              <w:r>
                <w:rPr>
                  <w:rStyle w:val="InternetLink"/>
                  <w:rFonts w:ascii="Times New Roman;serif" w:hAnsi="Times New Roman;serif"/>
                  <w:b/>
                  <w:strike w:val="false"/>
                  <w:dstrike w:val="false"/>
                  <w:color w:val="000080"/>
                  <w:sz w:val="20"/>
                  <w:u w:val="single"/>
                  <w:effect w:val="none"/>
                </w:rPr>
                <w:t xml:space="preserve"> (Unaudited)</w:t>
              </w:r>
            </w:hyperlink>
            <w:hyperlink w:anchor="i0129d220b84b49859782d82925d2b0a1_16">
              <w:r>
                <w:rPr>
                  <w:rStyle w:val="InternetLink"/>
                  <w:rFonts w:ascii="Times New Roman;serif" w:hAnsi="Times New Roman;serif"/>
                  <w:b/>
                  <w:strike w:val="false"/>
                  <w:dstrike w:val="false"/>
                  <w:color w:val="000080"/>
                  <w:sz w:val="20"/>
                  <w:u w:val="single"/>
                  <w:effect w:val="none"/>
                </w:rPr>
                <w:t xml:space="preserve">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6">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9">
              <w:r>
                <w:rPr>
                  <w:rStyle w:val="InternetLink"/>
                  <w:rFonts w:ascii="Times New Roman;serif" w:hAnsi="Times New Roman;serif"/>
                  <w:b/>
                  <w:strike w:val="false"/>
                  <w:dstrike w:val="false"/>
                  <w:color w:val="000080"/>
                  <w:sz w:val="20"/>
                  <w:u w:val="single"/>
                  <w:effect w:val="none"/>
                </w:rPr>
                <w:t>Condensed Consolidated Statements of Operations</w:t>
              </w:r>
            </w:hyperlink>
            <w:hyperlink w:anchor="i0129d220b84b49859782d82925d2b0a1_19">
              <w:r>
                <w:rPr>
                  <w:rStyle w:val="InternetLink"/>
                  <w:rFonts w:ascii="Times New Roman;serif" w:hAnsi="Times New Roman;serif"/>
                  <w:b/>
                  <w:strike w:val="false"/>
                  <w:dstrike w:val="false"/>
                  <w:color w:val="000080"/>
                  <w:sz w:val="20"/>
                  <w:u w:val="single"/>
                  <w:effect w:val="none"/>
                </w:rPr>
                <w:t xml:space="preserve"> and Comprehensive Loss</w:t>
              </w:r>
            </w:hyperlink>
            <w:hyperlink w:anchor="i0129d220b84b49859782d82925d2b0a1_19">
              <w:r>
                <w:rPr>
                  <w:rStyle w:val="InternetLink"/>
                  <w:rFonts w:ascii="Times New Roman;serif" w:hAnsi="Times New Roman;serif"/>
                  <w:b/>
                  <w:strike w:val="false"/>
                  <w:dstrike w:val="false"/>
                  <w:color w:val="000080"/>
                  <w:sz w:val="20"/>
                  <w:u w:val="single"/>
                  <w:effect w:val="none"/>
                </w:rPr>
                <w:t xml:space="preserve">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9">
              <w:r>
                <w:rPr>
                  <w:rStyle w:val="InternetLink"/>
                  <w:rFonts w:ascii="Times New Roman;serif" w:hAnsi="Times New Roman;serif"/>
                  <w:b w:val="false"/>
                  <w:strike w:val="false"/>
                  <w:dstrike w:val="false"/>
                  <w:color w:val="000000"/>
                  <w:sz w:val="20"/>
                  <w:u w:val="none"/>
                  <w:effect w:val="none"/>
                </w:rPr>
                <w:t>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2">
              <w:r>
                <w:rPr>
                  <w:rStyle w:val="InternetLink"/>
                  <w:rFonts w:ascii="Times New Roman;serif" w:hAnsi="Times New Roman;serif"/>
                  <w:b/>
                  <w:strike w:val="false"/>
                  <w:dstrike w:val="false"/>
                  <w:color w:val="000000"/>
                  <w:sz w:val="20"/>
                  <w:u w:val="none"/>
                  <w:effect w:val="none"/>
                </w:rPr>
                <w:t xml:space="preserve">Condensed Consolidated Statements of Convertible Preferred Shares and Shareholders’ Equity (Deficit)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2">
              <w:r>
                <w:rPr>
                  <w:rStyle w:val="InternetLink"/>
                  <w:rFonts w:ascii="Times New Roman;serif" w:hAnsi="Times New Roman;serif"/>
                  <w:b w:val="false"/>
                  <w:strike w:val="false"/>
                  <w:dstrike w:val="false"/>
                  <w:color w:val="000000"/>
                  <w:sz w:val="20"/>
                  <w:u w:val="none"/>
                  <w:effect w:val="none"/>
                </w:rPr>
                <w:t>3</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5">
              <w:r>
                <w:rPr>
                  <w:rStyle w:val="InternetLink"/>
                  <w:rFonts w:ascii="Times New Roman;serif" w:hAnsi="Times New Roman;serif"/>
                  <w:b/>
                  <w:strike w:val="false"/>
                  <w:dstrike w:val="false"/>
                  <w:color w:val="000000"/>
                  <w:sz w:val="20"/>
                  <w:u w:val="none"/>
                  <w:effect w:val="none"/>
                </w:rPr>
                <w:t xml:space="preserve">Condensed Consolidated Statements of Cash Flows (Unaudited)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5">
              <w:r>
                <w:rPr>
                  <w:rStyle w:val="InternetLink"/>
                  <w:rFonts w:ascii="Times New Roman;serif" w:hAnsi="Times New Roman;serif"/>
                  <w:b w:val="false"/>
                  <w:strike w:val="false"/>
                  <w:dstrike w:val="false"/>
                  <w:color w:val="000000"/>
                  <w:sz w:val="20"/>
                  <w:u w:val="none"/>
                  <w:effect w:val="none"/>
                </w:rPr>
                <w:t>4</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28">
              <w:r>
                <w:rPr>
                  <w:rStyle w:val="InternetLink"/>
                  <w:rFonts w:ascii="Times New Roman;serif" w:hAnsi="Times New Roman;serif"/>
                  <w:b/>
                  <w:strike w:val="false"/>
                  <w:dstrike w:val="false"/>
                  <w:color w:val="000000"/>
                  <w:sz w:val="20"/>
                  <w:u w:val="none"/>
                  <w:effect w:val="none"/>
                </w:rPr>
                <w:t>Notes to the Condensed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28">
              <w:r>
                <w:rPr>
                  <w:rStyle w:val="InternetLink"/>
                  <w:rFonts w:ascii="Times New Roman;serif" w:hAnsi="Times New Roman;serif"/>
                  <w:b w:val="false"/>
                  <w:strike w:val="false"/>
                  <w:dstrike w:val="false"/>
                  <w:color w:val="000000"/>
                  <w:sz w:val="20"/>
                  <w:u w:val="none"/>
                  <w:effect w:val="none"/>
                </w:rPr>
                <w:t>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73">
              <w:r>
                <w:rPr>
                  <w:rStyle w:val="InternetLink"/>
                  <w:rFonts w:ascii="Times New Roman;serif" w:hAnsi="Times New Roman;serif"/>
                  <w:b/>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73">
              <w:r>
                <w:rPr>
                  <w:rStyle w:val="InternetLink"/>
                  <w:rFonts w:ascii="Times New Roman;serif" w:hAnsi="Times New Roman;serif"/>
                  <w:b/>
                  <w:strike w:val="false"/>
                  <w:dstrike w:val="false"/>
                  <w:color w:val="000000"/>
                  <w:sz w:val="20"/>
                  <w:u w:val="none"/>
                  <w:effect w:val="non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73">
              <w:r>
                <w:rPr>
                  <w:rStyle w:val="InternetLink"/>
                  <w:rFonts w:ascii="Times New Roman;serif" w:hAnsi="Times New Roman;serif"/>
                  <w:b w:val="false"/>
                  <w:strike w:val="false"/>
                  <w:dstrike w:val="false"/>
                  <w:color w:val="000000"/>
                  <w:sz w:val="20"/>
                  <w:u w:val="none"/>
                  <w:effect w:val="none"/>
                </w:rPr>
                <w:t>26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
              <w:r>
                <w:rPr>
                  <w:rStyle w:val="InternetLink"/>
                  <w:rFonts w:ascii="Times New Roman;serif" w:hAnsi="Times New Roman;serif"/>
                  <w:b/>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97">
              <w:r>
                <w:rPr>
                  <w:rStyle w:val="InternetLink"/>
                  <w:rFonts w:ascii="Times New Roman;serif" w:hAnsi="Times New Roman;serif"/>
                  <w:b/>
                  <w:strike w:val="false"/>
                  <w:dstrike w:val="false"/>
                  <w:color w:val="000000"/>
                  <w:sz w:val="20"/>
                  <w:u w:val="none"/>
                  <w:effect w:val="non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97">
              <w:r>
                <w:rPr>
                  <w:rStyle w:val="InternetLink"/>
                  <w:rFonts w:ascii="Times New Roman;serif" w:hAnsi="Times New Roman;serif"/>
                  <w:b w:val="false"/>
                  <w:strike w:val="false"/>
                  <w:dstrike w:val="false"/>
                  <w:color w:val="000000"/>
                  <w:sz w:val="20"/>
                  <w:u w:val="none"/>
                  <w:effect w:val="none"/>
                </w:rPr>
                <w:t>39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0">
              <w:r>
                <w:rPr>
                  <w:rStyle w:val="InternetLink"/>
                  <w:rFonts w:ascii="Times New Roman;serif" w:hAnsi="Times New Roman;serif"/>
                  <w:b/>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0">
              <w:r>
                <w:rPr>
                  <w:rStyle w:val="InternetLink"/>
                  <w:rFonts w:ascii="Times New Roman;serif" w:hAnsi="Times New Roman;serif"/>
                  <w:b/>
                  <w:strike w:val="false"/>
                  <w:dstrike w:val="false"/>
                  <w:color w:val="000000"/>
                  <w:sz w:val="20"/>
                  <w:u w:val="none"/>
                  <w:effect w:val="non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0">
              <w:r>
                <w:rPr>
                  <w:rStyle w:val="InternetLink"/>
                  <w:rFonts w:ascii="Times New Roman;serif" w:hAnsi="Times New Roman;serif"/>
                  <w:b w:val="false"/>
                  <w:strike w:val="false"/>
                  <w:dstrike w:val="false"/>
                  <w:color w:val="000000"/>
                  <w:sz w:val="20"/>
                  <w:u w:val="none"/>
                  <w:effect w:val="none"/>
                </w:rPr>
                <w:t>39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3">
              <w:r>
                <w:rPr>
                  <w:rStyle w:val="InternetLink"/>
                  <w:rFonts w:ascii="Times New Roman;serif" w:hAnsi="Times New Roman;serif"/>
                  <w:b/>
                  <w:strike w:val="false"/>
                  <w:dstrike w:val="false"/>
                  <w:color w:val="000000"/>
                  <w:sz w:val="20"/>
                  <w:u w:val="none"/>
                  <w:effect w:val="none"/>
                </w:rPr>
                <w:t>Part I</w:t>
              </w:r>
            </w:hyperlink>
            <w:r>
              <w:rPr>
                <w:rFonts w:ascii="Times New Roman;serif" w:hAnsi="Times New Roman;serif"/>
                <w:b/>
                <w:color w:val="000000"/>
                <w:sz w:val="20"/>
              </w:rPr>
              <w:t>I</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3">
              <w:r>
                <w:rPr>
                  <w:rStyle w:val="InternetLink"/>
                  <w:rFonts w:ascii="Times New Roman;serif" w:hAnsi="Times New Roman;serif"/>
                  <w:b/>
                  <w:strike w:val="false"/>
                  <w:dstrike w:val="false"/>
                  <w:color w:val="000000"/>
                  <w:sz w:val="20"/>
                  <w:u w:val="none"/>
                  <w:effect w:val="non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3">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6">
              <w:r>
                <w:rPr>
                  <w:rStyle w:val="InternetLink"/>
                  <w:rFonts w:ascii="Times New Roman;serif" w:hAnsi="Times New Roman;serif"/>
                  <w:b/>
                  <w:strike w:val="false"/>
                  <w:dstrike w:val="false"/>
                  <w:color w:val="000000"/>
                  <w:sz w:val="20"/>
                  <w:u w:val="none"/>
                  <w:effect w:val="none"/>
                </w:rPr>
                <w:t>Item 1.</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6">
              <w:r>
                <w:rPr>
                  <w:rStyle w:val="InternetLink"/>
                  <w:rFonts w:ascii="Times New Roman;serif" w:hAnsi="Times New Roman;serif"/>
                  <w:b/>
                  <w:strike w:val="false"/>
                  <w:dstrike w:val="false"/>
                  <w:color w:val="000000"/>
                  <w:sz w:val="20"/>
                  <w:u w:val="none"/>
                  <w:effect w:val="non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6">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9">
              <w:r>
                <w:rPr>
                  <w:rStyle w:val="InternetLink"/>
                  <w:rFonts w:ascii="Times New Roman;serif" w:hAnsi="Times New Roman;serif"/>
                  <w:b/>
                  <w:strike w:val="false"/>
                  <w:dstrike w:val="false"/>
                  <w:color w:val="000000"/>
                  <w:sz w:val="20"/>
                  <w:u w:val="none"/>
                  <w:effect w:val="none"/>
                </w:rPr>
                <w:t>Item 1A</w:t>
              </w:r>
            </w:hyperlink>
            <w:r>
              <w:rPr>
                <w:rFonts w:ascii="Times New Roman;serif" w:hAnsi="Times New Roman;serif"/>
                <w:b/>
                <w:color w:val="000000"/>
                <w:sz w:val="20"/>
              </w:rPr>
              <w:t>.</w:t>
            </w:r>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09">
              <w:r>
                <w:rPr>
                  <w:rStyle w:val="InternetLink"/>
                  <w:rFonts w:ascii="Times New Roman;serif" w:hAnsi="Times New Roman;serif"/>
                  <w:b/>
                  <w:strike w:val="false"/>
                  <w:dstrike w:val="false"/>
                  <w:color w:val="000000"/>
                  <w:sz w:val="20"/>
                  <w:u w:val="none"/>
                  <w:effect w:val="non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09">
              <w:r>
                <w:rPr>
                  <w:rStyle w:val="InternetLink"/>
                  <w:rFonts w:ascii="Times New Roman;serif" w:hAnsi="Times New Roman;serif"/>
                  <w:b w:val="false"/>
                  <w:strike w:val="false"/>
                  <w:dstrike w:val="false"/>
                  <w:color w:val="000000"/>
                  <w:sz w:val="20"/>
                  <w:u w:val="none"/>
                  <w:effect w:val="none"/>
                </w:rPr>
                <w:t>40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2">
              <w:r>
                <w:rPr>
                  <w:rStyle w:val="InternetLink"/>
                  <w:rFonts w:ascii="Times New Roman;serif" w:hAnsi="Times New Roman;serif"/>
                  <w:b/>
                  <w:strike w:val="false"/>
                  <w:dstrike w:val="false"/>
                  <w:color w:val="000000"/>
                  <w:sz w:val="20"/>
                  <w:u w:val="none"/>
                  <w:effect w:val="none"/>
                </w:rPr>
                <w:t>Item 2.</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2">
              <w:r>
                <w:rPr>
                  <w:rStyle w:val="InternetLink"/>
                  <w:rFonts w:ascii="Times New Roman;serif" w:hAnsi="Times New Roman;serif"/>
                  <w:b/>
                  <w:strike w:val="false"/>
                  <w:dstrike w:val="false"/>
                  <w:color w:val="000000"/>
                  <w:sz w:val="20"/>
                  <w:u w:val="none"/>
                  <w:effect w:val="non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2">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5">
              <w:r>
                <w:rPr>
                  <w:rStyle w:val="InternetLink"/>
                  <w:rFonts w:ascii="Times New Roman;serif" w:hAnsi="Times New Roman;serif"/>
                  <w:b/>
                  <w:strike w:val="false"/>
                  <w:dstrike w:val="false"/>
                  <w:color w:val="000000"/>
                  <w:sz w:val="20"/>
                  <w:u w:val="none"/>
                  <w:effect w:val="none"/>
                </w:rPr>
                <w:t>Item 3.</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5">
              <w:r>
                <w:rPr>
                  <w:rStyle w:val="InternetLink"/>
                  <w:rFonts w:ascii="Times New Roman;serif" w:hAnsi="Times New Roman;serif"/>
                  <w:b/>
                  <w:strike w:val="false"/>
                  <w:dstrike w:val="false"/>
                  <w:color w:val="000000"/>
                  <w:sz w:val="20"/>
                  <w:u w:val="none"/>
                  <w:effect w:val="non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5">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8">
              <w:r>
                <w:rPr>
                  <w:rStyle w:val="InternetLink"/>
                  <w:rFonts w:ascii="Times New Roman;serif" w:hAnsi="Times New Roman;serif"/>
                  <w:b/>
                  <w:strike w:val="false"/>
                  <w:dstrike w:val="false"/>
                  <w:color w:val="000000"/>
                  <w:sz w:val="20"/>
                  <w:u w:val="none"/>
                  <w:effect w:val="none"/>
                </w:rPr>
                <w:t>Item 4.</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18">
              <w:r>
                <w:rPr>
                  <w:rStyle w:val="InternetLink"/>
                  <w:rFonts w:ascii="Times New Roman;serif" w:hAnsi="Times New Roman;serif"/>
                  <w:b/>
                  <w:strike w:val="false"/>
                  <w:dstrike w:val="false"/>
                  <w:color w:val="000000"/>
                  <w:sz w:val="20"/>
                  <w:u w:val="none"/>
                  <w:effect w:val="non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18">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1">
              <w:r>
                <w:rPr>
                  <w:rStyle w:val="InternetLink"/>
                  <w:rFonts w:ascii="Times New Roman;serif" w:hAnsi="Times New Roman;serif"/>
                  <w:b/>
                  <w:strike w:val="false"/>
                  <w:dstrike w:val="false"/>
                  <w:color w:val="000000"/>
                  <w:sz w:val="20"/>
                  <w:u w:val="none"/>
                  <w:effect w:val="none"/>
                </w:rPr>
                <w:t>Item 5.</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1">
              <w:r>
                <w:rPr>
                  <w:rStyle w:val="InternetLink"/>
                  <w:rFonts w:ascii="Times New Roman;serif" w:hAnsi="Times New Roman;serif"/>
                  <w:b/>
                  <w:strike w:val="false"/>
                  <w:dstrike w:val="false"/>
                  <w:color w:val="000000"/>
                  <w:sz w:val="20"/>
                  <w:u w:val="none"/>
                  <w:effect w:val="non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1">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4">
              <w:r>
                <w:rPr>
                  <w:rStyle w:val="InternetLink"/>
                  <w:rFonts w:ascii="Times New Roman;serif" w:hAnsi="Times New Roman;serif"/>
                  <w:b/>
                  <w:strike w:val="false"/>
                  <w:dstrike w:val="false"/>
                  <w:color w:val="000000"/>
                  <w:sz w:val="20"/>
                  <w:u w:val="none"/>
                  <w:effect w:val="none"/>
                </w:rPr>
                <w:t>Item 6.</w:t>
              </w:r>
            </w:hyperlink>
          </w:p>
        </w:tc>
        <w:tc>
          <w:tcPr>
            <w:tcW w:w="88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4">
              <w:r>
                <w:rPr>
                  <w:rStyle w:val="InternetLink"/>
                  <w:rFonts w:ascii="Times New Roman;serif" w:hAnsi="Times New Roman;serif"/>
                  <w:b/>
                  <w:strike w:val="false"/>
                  <w:dstrike w:val="false"/>
                  <w:color w:val="000000"/>
                  <w:sz w:val="20"/>
                  <w:u w:val="none"/>
                  <w:effect w:val="non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4">
              <w:r>
                <w:rPr>
                  <w:rStyle w:val="InternetLink"/>
                  <w:rFonts w:ascii="Times New Roman;serif" w:hAnsi="Times New Roman;serif"/>
                  <w:b w:val="false"/>
                  <w:strike w:val="false"/>
                  <w:dstrike w:val="false"/>
                  <w:color w:val="000000"/>
                  <w:sz w:val="20"/>
                  <w:u w:val="none"/>
                  <w:effect w:val="none"/>
                </w:rPr>
                <w:t>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129d220b84b49859782d82925d2b0a1_127">
              <w:r>
                <w:rPr>
                  <w:rStyle w:val="InternetLink"/>
                  <w:rFonts w:ascii="Times New Roman;serif" w:hAnsi="Times New Roman;serif"/>
                  <w:b/>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29d220b84b49859782d82925d2b0a1_127">
              <w:r>
                <w:rPr>
                  <w:rStyle w:val="InternetLink"/>
                  <w:rFonts w:ascii="Times New Roman;serif" w:hAnsi="Times New Roman;serif"/>
                  <w:b w:val="false"/>
                  <w:strike w:val="false"/>
                  <w:dstrike w:val="false"/>
                  <w:color w:val="000000"/>
                  <w:sz w:val="20"/>
                  <w:u w:val="none"/>
                  <w:effect w:val="none"/>
                </w:rPr>
                <w:t>87</w:t>
              </w:r>
            </w:hyperlink>
          </w:p>
        </w:tc>
      </w:tr>
    </w:tbl>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facts contained in this Quarterly Report on Form 10-Q, are forward-looking statements, including, without limitation, statements regarding: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cost, timing and potential indications of our product development activities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advance clinical development of, and ultimately obtain approval from, the U.S. Food and Drug Administration (“FDA”) and other regulatory agencies in countries outside of the U.S.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research and development plans and ability to identify and bring forward additional product candidates into preclinical and clinical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and degree of market acceptance of our product candidates, including our ability to successfully compete with existing therapies and therapies currently in development, and our expectations regarding the size of the commercial markets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marketing and sales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use of net proceeds from financing activities, including the availability of and our ability to obtain additional financing and to continue as a going concern;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existing and future federal, state and foreign regulations and our expectations regarding the impact of macroeconomic conditions and geopolitical conflicts on our business and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seeking and execution of joint development, licensing or distribution and collaboration and marketing arrangements with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period of time for which our existing cash and cash equivalents will enable us to fund our operations;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relationship with Paragon Therapeutics, Inc., Fairmount Funds Management LLC, and Parascent Holding LLC.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management’s current expectations, estimates, forecasts and projections about our business and the industry in which we operate.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“Summary Risk Factors,” Part II, Item 1A. “Risk Factors,” and Part I, Item 2. “Management’s Discussion and Analysis of Financial Condition and Results of Operations” and elsewhere in this Quarterly Report on Form 10-Q (“Form 10-Q”). You should read these risk factors and the other cautionary statements made in this report as being applicable to all related forward-looking statements wherever they appear in this report. The risk factors are not exhaustive and other sections of this report may include additional factors which could adversely impact our business and financial performance.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Drug development and commercialization involve a high degree of risk, and only a small number of research and development programs result in commercialization of a product. Preliminary and interim results from any trial and results in early-stage clinical trials may not be indicative of full results or results from later stage or larger scale clinical trials and do not ensure regulatory approval. Moreover, we operate in a very competitive and rapidly changing environment. New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bidi w:val="0"/>
        <w:spacing w:before="0" w:after="0"/>
        <w:jc w:val="both"/>
        <w:rPr/>
      </w:pPr>
      <w:r>
        <w:rPr/>
      </w:r>
    </w:p>
    <w:p>
      <w:pPr>
        <w:pStyle w:val="TextBody"/>
        <w:bidi w:val="0"/>
        <w:spacing w:lineRule="auto" w:line="24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unless the context suggests otherwise, “we,” “us,” “our,” “the Company,” “Crescent Biopharma, Inc.,” “Crescent,” “GlycoMimetics, Inc.,” “GlycoMimetics,” refers to Crescent Biopharma, Inc. and its consolidated subsidiaries, including Crescent Biopharma Operating Company LLC, taken as a whole.</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Summary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on Form 10-Q. The principal risks and uncertainties affecting our business include the following:</w:t>
      </w: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are a clinical-stage biotechnology company with a limited operating history on which to assess our business; we have not completed any clinical trials, and have no products approved for commercial sale.</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We have historically incurred losses and we anticipate that we will continue to incur losses for the foreseeable future.</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may not be able to raise the capital that we need to support our business plans.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Raising additional capital may cause additional dilution to our shareholders, restrict our operations, or require us to relinquish rights to our technologies or product candidates.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Risks Related to Clinical Development and Regulatory Approval</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Drug development and obtaining and maintaining regulatory approval for drug products is costly, time-consuming, and highly uncertain.</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are substantially dependent on the success of our lead program, CR-001, and our current and anticipated clinical trials of such program may not be successful.</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may not be able to meet requirements for the chemistry, manufacturing, and control of our programs.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face competition from entities that have developed or may develop programs for the diseases addressed by product candidates developed by us.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The United States Food and Drug Administration (“FDA”) and comparable foreign regulatory approval processes are lengthy and time consuming and we may not be able to obtain or may be delayed in obtaining regulatory approvals for our product candidates.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Disruptions at the FDA and other government agencies could negatively affect the review of our regulatory submissions, which could negatively impact our business.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Even if we obtain regulatory approval, we will be subject to ongoing regulatory obligations.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may fail to achieve our projected development goals in the time frames we announce and expect.</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do not currently own any issued patents and our patent portfolio is in-licensed from Paragon Therapeutics, Inc, (“Paragon”) and Sichuan Kelun-Biotech Biopharmaceutical Co., Ltd. (“Kelun”).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ability to obtain and protect patent rights and protect other proprietary rights is uncertain.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fail in obtaining or maintaining necessary rights to our programs.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subject to patent infringement claims or may need to file such claims.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ability to protect our products may be impaired by changes to patent laws.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patent protection could be reduced or eliminated for non-compliance with legal requirements.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fail to identify or interpret relevant third-party patents.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subject to claims challenging the inventorship or ownership of our intellectual property.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Patent terms may be inadequate to protect our competitive position of our programs.</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technology licensed from Paragon and Kelun and any technology licensed from other third-parties in the future may be subject to retained rights.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unable to protect the confidentiality of our trade secrets and other proprietary information.</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subject to litigation under the Biologics Price Competition and Innovation Act of 2010 (“BPCIA”) in connection with patent rights for our product candidates.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currently and in the future expect to rely on agreements with third parties to develop our product candidates. If we are unable to maintain our current or future collaborations or licensing arrangements, or if our current or future collaborations or licensing arrangements are not successful, our business could be negatively impacted. Additionally, in some instances, our agreements with third parties may include certain indemnification provisions which, if triggered, may negatively impact our business.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Third parties we rely on for the execution of nonclinical studies and clinical trials may fail to carry out their contractual duties.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 unable to use third-party manufacturing sites, our third-party manufacturers may encounter difficulties in production, or we may need to switch or create third-party manufacturer redundancies.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Other Risk Factors - Risks Related to Employee Matters, Managing Growth, Other Risks Related to Our Business, and Owning Our Ordinary Shares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business is dependent on key personnel and we will be harmed if we cannot recruit and retain highly qualified personnel to successfully implement our business strategy.</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Significant disruptions of information technology systems or breaches of data security could adversely affect our business.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Changes in and failures to comply with United States and foreign privacy and data protection laws, regulations, and standards may adversely affect our business, operations, and consolidated financial performance.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may become exposed to costly and damaging liability claims and our insurance may not cover all damages from such claims.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Our business could be adversely affected by macroeconomic conditions, including tariffs.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We do not anticipate paying any dividends in the foreseeable future.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Future sales of shares by existing shareholders, including any shares issuable upon exercise of any pre-funded warrants, could cause our share price to decline.</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Future sales and issuances of equity and debt could result in additional dilution to our shareholders and could cause our share price to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12"/>
        <w:gridCol w:w="2415"/>
        <w:gridCol w:w="2400"/>
        <w:gridCol w:w="196"/>
        <w:gridCol w:w="736"/>
        <w:gridCol w:w="109"/>
        <w:gridCol w:w="109"/>
        <w:gridCol w:w="109"/>
        <w:gridCol w:w="109"/>
        <w:gridCol w:w="199"/>
        <w:gridCol w:w="751"/>
        <w:gridCol w:w="160"/>
      </w:tblGrid>
      <w:tr>
        <w:trPr/>
        <w:tc>
          <w:tcPr>
            <w:tcW w:w="291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December 31,</w:t>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213,192 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18,000 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5,463 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236,655 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240,293 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Shareholders’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16,344 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Related party accounts payable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4,156 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36,072 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37,281 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Non-voting convertible preferred shares, $0.001 par value; 5,000,000 shares authorized as of June 30, 2026 and December 31, 2025; 2,890 Series A designated shares issued and outstanding as of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Ordinary shares, $0.001 par value; 175,000,000 shares authorized as of June 30, 2026 and December 31, 2025, 27,756,044 and 27,556,767 shares issued and outstanding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370,793 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(171,809)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203,012 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240,293 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9"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r>
                              <w:br w:type="page"/>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11"/>
        <w:gridCol w:w="925"/>
        <w:gridCol w:w="928"/>
        <w:gridCol w:w="260"/>
        <w:gridCol w:w="929"/>
        <w:gridCol w:w="134"/>
        <w:gridCol w:w="109"/>
        <w:gridCol w:w="109"/>
        <w:gridCol w:w="109"/>
        <w:gridCol w:w="245"/>
        <w:gridCol w:w="1049"/>
        <w:gridCol w:w="126"/>
        <w:gridCol w:w="109"/>
        <w:gridCol w:w="109"/>
        <w:gridCol w:w="109"/>
        <w:gridCol w:w="251"/>
        <w:gridCol w:w="1073"/>
        <w:gridCol w:w="129"/>
        <w:gridCol w:w="109"/>
        <w:gridCol w:w="109"/>
        <w:gridCol w:w="109"/>
        <w:gridCol w:w="239"/>
        <w:gridCol w:w="1143"/>
        <w:gridCol w:w="182"/>
      </w:tblGrid>
      <w:tr>
        <w:trPr/>
        <w:tc>
          <w:tcPr>
            <w:tcW w:w="161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ordinary shareholders, basic and diluted</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Series A non-voting convertible preferred shareholders, basic and diluted</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(743.25)</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(1,442.56)</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(4,930.97)</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(14,104.90)</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outstanding used in computing net loss per share to ordinary shareholders, basic and diluted</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30,532,234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2,331,339</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Series A non-voting convertible preferred shares outstanding used in computing net loss per share to Series A non-voting convertible preferred shareholders, basic and diluted</w:t>
            </w:r>
          </w:p>
        </w:tc>
        <w:tc>
          <w:tcPr>
            <w:tcW w:w="13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$2,923 for the three and six months ended June 30, 2026 and $6,292 and $15,069 for the three and six months ended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$0 for the three and six months ended June 30, 2026 and $164 and $630 for the three and six months ended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$0 for the three and six months ended June 30, 2026 and $420 and $865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10"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r>
                              <w:br w:type="page"/>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CONVERTIBLE PREFERRED SHARES AND SHAREHOLDERS' EQUITY (DEFICIT)</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2254" w:type="dxa"/>
        <w:jc w:val="center"/>
        <w:tblInd w:w="0" w:type="dxa"/>
        <w:tblLayout w:type="fixed"/>
        <w:tblCellMar>
          <w:top w:w="28" w:type="dxa"/>
          <w:left w:w="28" w:type="dxa"/>
          <w:bottom w:w="28" w:type="dxa"/>
          <w:right w:w="28" w:type="dxa"/>
        </w:tblCellMar>
      </w:tblPr>
      <w:tblGrid>
        <w:gridCol w:w="634"/>
        <w:gridCol w:w="268"/>
        <w:gridCol w:w="269"/>
        <w:gridCol w:w="323"/>
        <w:gridCol w:w="323"/>
        <w:gridCol w:w="330"/>
        <w:gridCol w:w="109"/>
        <w:gridCol w:w="109"/>
        <w:gridCol w:w="109"/>
        <w:gridCol w:w="196"/>
        <w:gridCol w:w="556"/>
        <w:gridCol w:w="109"/>
        <w:gridCol w:w="109"/>
        <w:gridCol w:w="109"/>
        <w:gridCol w:w="109"/>
        <w:gridCol w:w="109"/>
        <w:gridCol w:w="109"/>
        <w:gridCol w:w="109"/>
        <w:gridCol w:w="203"/>
        <w:gridCol w:w="203"/>
        <w:gridCol w:w="196"/>
        <w:gridCol w:w="109"/>
        <w:gridCol w:w="109"/>
        <w:gridCol w:w="109"/>
        <w:gridCol w:w="196"/>
        <w:gridCol w:w="556"/>
        <w:gridCol w:w="109"/>
        <w:gridCol w:w="109"/>
        <w:gridCol w:w="109"/>
        <w:gridCol w:w="109"/>
        <w:gridCol w:w="303"/>
        <w:gridCol w:w="303"/>
        <w:gridCol w:w="310"/>
        <w:gridCol w:w="109"/>
        <w:gridCol w:w="109"/>
        <w:gridCol w:w="109"/>
        <w:gridCol w:w="218"/>
        <w:gridCol w:w="364"/>
        <w:gridCol w:w="109"/>
        <w:gridCol w:w="109"/>
        <w:gridCol w:w="109"/>
        <w:gridCol w:w="109"/>
        <w:gridCol w:w="196"/>
        <w:gridCol w:w="736"/>
        <w:gridCol w:w="109"/>
        <w:gridCol w:w="109"/>
        <w:gridCol w:w="109"/>
        <w:gridCol w:w="109"/>
        <w:gridCol w:w="213"/>
        <w:gridCol w:w="719"/>
        <w:gridCol w:w="119"/>
        <w:gridCol w:w="109"/>
        <w:gridCol w:w="109"/>
        <w:gridCol w:w="109"/>
        <w:gridCol w:w="205"/>
        <w:gridCol w:w="773"/>
        <w:gridCol w:w="163"/>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Non-Voting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Ordinary Shares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 (Deficit)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(17,867)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(15,479)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Early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restricted stock awards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Series Seed convertible preferred stock for Series A designated non-voting convertible preferred shares upon the closing of the reverse recapitalization</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notes (including accrued interest) into ordinary shares and pre-funded warrants upon the closing of the reverse recapitalization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1,850,790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and pre-funded warrants in the Pre-Closing financing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10,504,926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 of Pre-closing financing and reverse recapitalization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to former shareholders of GLYC in connection with the closing of the reverse recapitalization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13,892,516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(54,805)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139,254 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73" w:type="dxa"/>
        <w:jc w:val="center"/>
        <w:tblInd w:w="0" w:type="dxa"/>
        <w:tblLayout w:type="fixed"/>
        <w:tblCellMar>
          <w:top w:w="28" w:type="dxa"/>
          <w:left w:w="28" w:type="dxa"/>
          <w:bottom w:w="28" w:type="dxa"/>
          <w:right w:w="28" w:type="dxa"/>
        </w:tblCellMar>
      </w:tblPr>
      <w:tblGrid>
        <w:gridCol w:w="544"/>
        <w:gridCol w:w="268"/>
        <w:gridCol w:w="269"/>
        <w:gridCol w:w="203"/>
        <w:gridCol w:w="203"/>
        <w:gridCol w:w="196"/>
        <w:gridCol w:w="109"/>
        <w:gridCol w:w="109"/>
        <w:gridCol w:w="109"/>
        <w:gridCol w:w="196"/>
        <w:gridCol w:w="406"/>
        <w:gridCol w:w="109"/>
        <w:gridCol w:w="109"/>
        <w:gridCol w:w="109"/>
        <w:gridCol w:w="109"/>
        <w:gridCol w:w="109"/>
        <w:gridCol w:w="109"/>
        <w:gridCol w:w="109"/>
        <w:gridCol w:w="203"/>
        <w:gridCol w:w="203"/>
        <w:gridCol w:w="196"/>
        <w:gridCol w:w="109"/>
        <w:gridCol w:w="109"/>
        <w:gridCol w:w="109"/>
        <w:gridCol w:w="196"/>
        <w:gridCol w:w="556"/>
        <w:gridCol w:w="109"/>
        <w:gridCol w:w="109"/>
        <w:gridCol w:w="109"/>
        <w:gridCol w:w="109"/>
        <w:gridCol w:w="368"/>
        <w:gridCol w:w="368"/>
        <w:gridCol w:w="308"/>
        <w:gridCol w:w="109"/>
        <w:gridCol w:w="109"/>
        <w:gridCol w:w="109"/>
        <w:gridCol w:w="218"/>
        <w:gridCol w:w="364"/>
        <w:gridCol w:w="109"/>
        <w:gridCol w:w="109"/>
        <w:gridCol w:w="109"/>
        <w:gridCol w:w="109"/>
        <w:gridCol w:w="196"/>
        <w:gridCol w:w="736"/>
        <w:gridCol w:w="109"/>
        <w:gridCol w:w="109"/>
        <w:gridCol w:w="109"/>
        <w:gridCol w:w="109"/>
        <w:gridCol w:w="196"/>
        <w:gridCol w:w="751"/>
        <w:gridCol w:w="109"/>
        <w:gridCol w:w="109"/>
        <w:gridCol w:w="109"/>
        <w:gridCol w:w="109"/>
        <w:gridCol w:w="205"/>
        <w:gridCol w:w="773"/>
        <w:gridCol w:w="163"/>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Convertible 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Non-Voting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Ordinary Shares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27,556,767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203,012 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Parascent warrants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27,571,935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183,847 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restricted stock units</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158,937 </w:t>
            </w:r>
          </w:p>
        </w:tc>
        <w:tc>
          <w:tcPr>
            <w:tcW w:w="3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25,172 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27,756,044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163,255 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168,215 restricted stock awards outstanding as of June 30, 2025 and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11"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r>
                              <w:br w:type="page"/>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23"/>
        <w:gridCol w:w="2038"/>
        <w:gridCol w:w="2044"/>
        <w:gridCol w:w="243"/>
        <w:gridCol w:w="916"/>
        <w:gridCol w:w="135"/>
        <w:gridCol w:w="109"/>
        <w:gridCol w:w="109"/>
        <w:gridCol w:w="109"/>
        <w:gridCol w:w="374"/>
        <w:gridCol w:w="1407"/>
        <w:gridCol w:w="298"/>
      </w:tblGrid>
      <w:tr>
        <w:trPr/>
        <w:tc>
          <w:tcPr>
            <w:tcW w:w="242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(48,120)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(36,938)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6"/>
              </w:rPr>
              <w:t>Share-based compensation expense</w:t>
            </w:r>
            <w:r>
              <w:rPr>
                <w:rFonts w:ascii="Times New Roman;serif" w:hAnsi="Times New Roman;serif"/>
                <w:b w:val="false"/>
                <w:color w:val="000000"/>
                <w:sz w:val="10"/>
              </w:rPr>
              <w:t>(1)</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6,569 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6"/>
              </w:rPr>
              <w:t>Non-cash interest expense</w:t>
            </w:r>
            <w:r>
              <w:rPr>
                <w:rFonts w:ascii="Times New Roman;serif" w:hAnsi="Times New Roman;serif"/>
                <w:b w:val="false"/>
                <w:color w:val="000000"/>
                <w:sz w:val="10"/>
              </w:rPr>
              <w:t>(2)</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4,417 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accounts payable and other current liabilities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(28,400)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(27,253)</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research and development license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sale of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Pre-Closing Financing, net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144,281 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acquired in connection with the reverse recapitalization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early exercise of options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equity awards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offering costs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under employee stock purchase plan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145,378 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(decrease) increase in cash, cash equivalents, and restricted cash</w:t>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(41,599)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117,985 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34,766 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152,751 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operating and financing activities:</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included in accounts payable and accrued expenses and other current liabilities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 arising from obtaining operating right-of-use asset</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Assets acquired in connection with the reverse recapitalization</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assumed in connection with the reverse recapitalization</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expenses and other current liabilities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 principal and non-cash accrued interest converted to ordinary shares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exchange of Pre-Merger Crescent Series Seed Preferred Stock for Series A Non-Voting Convertible Preferred Shares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related party amount of $423 and $2,035, for the six months ended June 30, 2026 and June 30, 2025, respectively.</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2580"/>
                <wp:effectExtent l="0" t="0" r="0" b="0"/>
                <wp:wrapNone/>
                <wp:docPr id="12"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r>
                              <w:br w:type="page"/>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$865 for the six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2580"/>
                <wp:effectExtent l="0" t="0" r="0" b="0"/>
                <wp:wrapNone/>
                <wp:docPr id="13"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r>
                              <w:br w:type="page"/>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CRESCENT BIOPHARMA,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the Business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Background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Crescent Biopharma, Inc., together with its subsidiaries (collectively “Crescent” or the “Company”), formerly known as GlycoMimetics, Inc. (“GlycoMimetics”), is a clinical-stage biotechnology company that is the result of the reverse recapitalization discussed below. Prior to the reverse recapitalization, the private company Crescent Biopharma, Inc. (“Pre-Merger Crescent”) was established and incorporated under the laws of the state of Delaware on September 19, 2024. The Company was founded to research and develop cancer therapy candidates licensed from Paragon Therapeutics, Inc. (“Paragon”), an antibody discovery engine founded by Fairmount Funds Management LLC (“Fairmount”). The Company is based in Waltham, Massachusetts and was formed to develop therapies for the treatment of solid tumors.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reflect, in the opinion of management, all adjustments of a normal and recurring nature that are necessary for a fair statement of the Company’s financial position as of June 30, 2026, its results of operations for the three and six months ended June 30, 2026 and 2025, and its cash flows for the six months ended June 30, 2026 and 2025. The condensed balance sheet as of December 31, 2025, included in the condensed consolidated balance sheets was derived from the Company’s audited financial statements. 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financial statements. Accordingly, these condensed consolidated financial statements should be read in conjunction with the audited financial statements and the related notes thereto, included in the Company’s Annual Report on Form 10-K for the year ended December 31, 2025 filed with the SEC on February 26, 2026. The results for the three and six months ended June 30, 2026 are not necessarily indicative of results expected for the full fiscal year or any subsequent interim period. The condensed consolidated financial statements include the financial statements of its wholly-owned subsidiaries. All intercompany balances and transactions have been eliminated in consolidation.</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Reverse Recapitalization, Pre-Closing Financing, and Reverse Stock Split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June 13, 2025, the Company consummated the closing (the “Closing”) pursuant to that certain Agreement and Plan of Merger and Reorganization, dated as of October 28, 2024, which agreement was subsequently amended on February 14, 2025 and April 28, 2025 (as amended, the “Merger Agreement”). Immediately prior to the consummation of the Merger, GlycoMimetics effected a 1-for-100 reverse stock split of GlycoMimetics common stock, which became legally effective on June 13, 2025 (the “Reverse Stock Split”). The Company’s common stock commenced trading on a post-Reverse Stock Split, post-Merger basis at the open of trading on June 16, 2025.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led by the Pre-Merger Crescent management team and remain focused on developing differentiated oncology therapeutics for patients living with solid tumors. The Merger was accounted for as a reverse recapitalization in accordance with U.S. GAAP. Under this method of accounting, Pre-Merger Crescent was deemed to be the accounting acquirer for financial reporting purposes.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Pre-Merger Crescent and GlycoMimetics entered into an amended and restated subscription agreement (the “Subscription Agreement”) with certain new and existing investors of Pre-Merger Crescent (the “Financing Investors”), pursuant to which such investors purchased, immediately prior to the first merger, 85,506,824 shares of Pre-Merger Crescent common stock and 19,149,690 Pre-Merger Crescent pre-funded warrants, for gross proceeds of approximately $200.0 million (which includes $37.5 million of proceeds previously received from the issuance of convertible notes and $3.0 million of accrued interest thereon) (the “Crescent Pre-Closing Financing”). Under the Subscription Agreement, the number of shares of Pre-Merger Crescent common stock or Pre-Merger Crescent pre-funded warrants were converted into 12,355,716 shares of Company Common Stock and 2,767,122 pre-funded warrants of Company common stock in accordance with the Exchange Ratio (defined below).</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Exchange Ratio was calculated using a formula intended to allocate existing GlycoMimetics and Pre-Merger Crescent security holders a percentage of the Company. Based on GlycoMimetics’ and Pre-Merger Crescent’s values as of the date of the Merger Agreement and capitalization as of June 13, 2025, the Exchange Ratio (as adjusted for the Reverse Stock Split) was 0.1445 shares of GlycoMimetics common stock for each share of Crescent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Redomestication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2025, Crescent changed its jurisdiction of incorporation from the State of Delaware to the Cayman Islands (the “Redomestication”) pursuant to a plan of conversion (the “Plan of Conversion”). The Redomestication became effective on June 16, 2025 and was accomplished by the filing of (i) 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 Companies. For purposes of these condensed consolidated financial statements, references to “Crescent Delaware” mean Crescent prior to the Redomestication.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Redomestication, among other things: (i) each outstanding share of common stock, par value $0.001 per share, of Crescent Delaware automatically converted into one ordinary share, par value $0.001 per share, of the Company; (ii) each outstanding share of Series A Non-Voting Convertible Preferred Stock, par value $0.001 per share, of Crescent Delaware automatically converted into one share of Series A Non-Voting Convertible Preferred Share, par value $0.001 per share, of the Company (the “Series A Preferred Shares”); (iii) each outstanding option to purchase shares of common stock of Crescent Delaware automatically converted into an option to purchase ordinary shares of the Company; (iv) each outstanding restricted stock unit of Crescent Delaware automatically converted into a restricted stock unit of the Company; and (v) each warrant to purchase shares of common stock of Crescent Delaware automatically converted into a warrant to purchase ordinary shares of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rights of holders of ordinary shares of the Company are now governed by the Company's memorandum and articles of association and Cayman Islands law.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PIPE Financing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4, 2025, the Company entered into a Securities Purchase Agreement (the “Purchase Agreement”) for a private placement (the “Private Placement”) with certain institutional and other accredited investors (each, a “Purchaser” and collectively, the “Purchasers”). The closing of the Private Placement occurred on December 8,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the Purchasers agreed to purchase an aggregate of 13,795,685 ordinary shares with a par value of $0.001 per share of the Company (the “Ordinary Shares”), at a purchase price per share of $13.41 (or, for certain investors in lieu of Ordinary Shares, pre-funded warrants (the “Pre-Funded Warrants”) to purchase shares of Ordinary Shares (the “Pre-Funded Warrant Shares”), at a purchase price per underlying Pre-Funded Warrant Share of $13.409, which represents the per share purchase price of the Ordinary Shares less the $0.001 per share exercise price for each Pre-Funded Warrant), for an aggregate purchase price of approximately $185.0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Pre-Funded Warrants are exercisable at any time after the date of issuance. A holder of Pre-Funded Warrants may not exercise the warrant if the holder, together with its affiliates, would beneficially own more than 9.99% of the number of Ordinary Shares outstanding immediately after giving effect to such exercise. A holder of Pre-Funded Warrants may increase or decrease this percentage to a percentage not in excess of 19.99% by providing at least 61 days’ prior notice to us.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significant operating losses and negative cash flows from operations since inception. During the three and six months ended June 30, 2026, the Company incurred a net loss of $24.8 million and $48.1 million.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used net cash of $28.4 million for its operating activities. The Company has an accumulated deficit of $219.9 million at June 30,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$171.6 million. The Company’s management expects that the existing cash, together with the proceeds from the underwritten offering in July of 2026 (see Note 18),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its Annual Report on Form 10-K for the year ended December 31, 2025 filed with the SEC and have not materially changed during the six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financial statements in conformity with U.S. GAAP requires management to make estimates, assumptions, and judgments that affect the reported amounts of assets and liabilities at the date of the financial statements and the reported amounts of revenues and expenses during the reporting periods. Significant estimates and assumptions reflected within these financial statements include but are not limited to research and development expenses and any applicable prepaid or accrued costs and the valuation of share-based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Contract Costs Accruals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to date by vendors, including the Company’s related party Paragon (see Note 11), contract manufacturing organizations (“CMOs”), and contract research organizations (“CROs”).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accrues for expenses resulting from obligations under its discovery and option agreements (the “Option Agreements”) by and among the Company, Paragon and Parascent Holding LLC (“Parascent”), and agreements with CROs, CMOs, and other vendors for which payment flows may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other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June 30, 2026, the Company has not experienced any material deviations between accrued and actual research and development expenses.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Commitments and Contingencies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amount of the range is recorded as a liability on the condensed consolidated balance sheet. The Company does not accrue for contingent losses that, in its judgment, are considered to be reasonably possible, but not probable; however, it discloses the range of reasonably possible losses. As of June 30, 2026, no liabilities were recorded for loss contingencies (see Note 13).</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financial statements.</w:t>
      </w:r>
    </w:p>
    <w:p>
      <w:pPr>
        <w:pStyle w:val="TextBody"/>
        <w:bidi w:val="0"/>
        <w:spacing w:lineRule="auto" w:line="288" w:before="0" w:after="2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The amendments in ASU 2025-11 clarify interim disclosure requirements. ASU 2025-11 is effective for the Company’s annual reporting period beginning after December 15, 2027 and interim reporting periods beginning after December 15, 2028, with early adoption permitted. The Company is currently evaluating the impact of this standard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following financial assets at fair value on a recurring basis. There were no transfers between levels of the fair value hierarchy during any of the periods presented. The following tables set forth the Company’s financial assets carried at fair value categorized using the lowest level of input applicable to each financial instrument as of June 30, 2026 and December 31, 2025 (in thousands): </w:t>
      </w:r>
    </w:p>
    <w:tbl>
      <w:tblPr>
        <w:tblW w:w="6586"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9fe11eccfaf14378ad9a7c86c11273a6_3-1-1-"/>
            <w:bookmarkEnd w:id="0"/>
            <w:r>
              <w:rPr>
                <w:rFonts w:ascii="Times New Roman;serif" w:hAnsi="Times New Roman;serif"/>
                <w:b w:val="false"/>
                <w:color w:val="000000"/>
                <w:sz w:val="20"/>
              </w:rPr>
              <w:t>156,272 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6"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Cash equivalents consist of money market funds, which were valued by the Company based on quoted market prices, which represents a Level 1 measurement within the fair value hierarchy. The Company did not hold any financial liabilities carried at fair value as of June 30, 2026 and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warrant liability (as discussed in Note 9) each reporting period and records changes in the fair value through research and development expenses on the Company’s consolidated statements of operations. The following table shows the changes in fair value measurements using significant unobservable inputs (Level 3) for the warrant liability during the three and six months ended June 30, 2026 and June 30, 2025:</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22"/>
        <w:gridCol w:w="459"/>
        <w:gridCol w:w="460"/>
        <w:gridCol w:w="563"/>
        <w:gridCol w:w="1087"/>
        <w:gridCol w:w="296"/>
        <w:gridCol w:w="109"/>
        <w:gridCol w:w="109"/>
        <w:gridCol w:w="109"/>
        <w:gridCol w:w="528"/>
        <w:gridCol w:w="1018"/>
        <w:gridCol w:w="277"/>
        <w:gridCol w:w="109"/>
        <w:gridCol w:w="109"/>
        <w:gridCol w:w="109"/>
        <w:gridCol w:w="460"/>
        <w:gridCol w:w="1345"/>
        <w:gridCol w:w="237"/>
        <w:gridCol w:w="109"/>
        <w:gridCol w:w="109"/>
        <w:gridCol w:w="109"/>
        <w:gridCol w:w="422"/>
        <w:gridCol w:w="1234"/>
        <w:gridCol w:w="316"/>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4. Restricted Cash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Restricted cash as of June 30, 2026 and June 30, 2025 was held as collateral for a stand-by letter of credit issued by the Company to its Sublandlord (as defined in Note 12) in connection with the current lease for its principal facilities located at 300 Fifth Avenue, Waltham, Massachusetts. For additional information regarding the Company’s lease, refer to Note 12. Cash, cash equivalents, and restricted cash consisted of the following as of June 30, 2026 and June 30, 2025 (in thousands):</w:t>
      </w:r>
    </w:p>
    <w:tbl>
      <w:tblPr>
        <w:tblW w:w="9729" w:type="dxa"/>
        <w:jc w:val="center"/>
        <w:tblInd w:w="0" w:type="dxa"/>
        <w:tblLayout w:type="fixed"/>
        <w:tblCellMar>
          <w:top w:w="28" w:type="dxa"/>
          <w:left w:w="28" w:type="dxa"/>
          <w:bottom w:w="28" w:type="dxa"/>
          <w:right w:w="28" w:type="dxa"/>
        </w:tblCellMar>
      </w:tblPr>
      <w:tblGrid>
        <w:gridCol w:w="2559"/>
        <w:gridCol w:w="2247"/>
        <w:gridCol w:w="2259"/>
        <w:gridCol w:w="211"/>
        <w:gridCol w:w="826"/>
        <w:gridCol w:w="109"/>
        <w:gridCol w:w="109"/>
        <w:gridCol w:w="109"/>
        <w:gridCol w:w="109"/>
        <w:gridCol w:w="211"/>
        <w:gridCol w:w="826"/>
        <w:gridCol w:w="154"/>
      </w:tblGrid>
      <w:tr>
        <w:trPr/>
        <w:tc>
          <w:tcPr>
            <w:tcW w:w="255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513" w:type="dxa"/>
        <w:jc w:val="center"/>
        <w:tblInd w:w="0" w:type="dxa"/>
        <w:tblLayout w:type="fixed"/>
        <w:tblCellMar>
          <w:top w:w="28" w:type="dxa"/>
          <w:left w:w="28" w:type="dxa"/>
          <w:bottom w:w="28" w:type="dxa"/>
          <w:right w:w="28" w:type="dxa"/>
        </w:tblCellMar>
      </w:tblPr>
      <w:tblGrid>
        <w:gridCol w:w="1431"/>
        <w:gridCol w:w="1254"/>
        <w:gridCol w:w="1260"/>
        <w:gridCol w:w="211"/>
        <w:gridCol w:w="616"/>
        <w:gridCol w:w="109"/>
        <w:gridCol w:w="109"/>
        <w:gridCol w:w="109"/>
        <w:gridCol w:w="109"/>
        <w:gridCol w:w="280"/>
        <w:gridCol w:w="819"/>
        <w:gridCol w:w="206"/>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hanging="36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Accrued Expenses and Other Current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828" w:type="dxa"/>
        <w:jc w:val="center"/>
        <w:tblInd w:w="0" w:type="dxa"/>
        <w:tblLayout w:type="fixed"/>
        <w:tblCellMar>
          <w:top w:w="28" w:type="dxa"/>
          <w:left w:w="28" w:type="dxa"/>
          <w:bottom w:w="28" w:type="dxa"/>
          <w:right w:w="28" w:type="dxa"/>
        </w:tblCellMar>
      </w:tblPr>
      <w:tblGrid>
        <w:gridCol w:w="1545"/>
        <w:gridCol w:w="1354"/>
        <w:gridCol w:w="1361"/>
        <w:gridCol w:w="211"/>
        <w:gridCol w:w="616"/>
        <w:gridCol w:w="109"/>
        <w:gridCol w:w="109"/>
        <w:gridCol w:w="109"/>
        <w:gridCol w:w="109"/>
        <w:gridCol w:w="253"/>
        <w:gridCol w:w="867"/>
        <w:gridCol w:w="185"/>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withholding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7. Convertible Notes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 Convertible Note Purchase Agreement (the “Note Purchase Agreement”) with a series of investors, pursuant to which the Company issued convertible notes with an initial principal amount of $37.5 million (of which $15.0 million was from a related party) (the “Convertible Notes”). The principal amount and all accrued interest of the Convertible Notes would automatically convert into the Pre-Merger Crescent’s common stock or preferred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stock in connection with the closing of a Next Equity Financing (as defined in the Note Purchase Agreement) or other events (e.g., a sale of substantially all Company assets, a merger, etc.). The Convertible Notes accrued interest at a rate of 12.0% per annum, compounded annually. All unpaid interest and principal was scheduled to mature on December 31, 2026 (the “Maturity Date”). Prepayment was not permitted without the prior written consent of the majority of the holders of the Convertible Notes. The principal payment along with the accrued interest on each Convertible Note was due in full on the Maturity Date. Pursuant to the Note Purchase Agreement, the Company had the right to sell and issue additional Convertible Notes up to an aggregate principal amount equal to $37.5 million, in addition to the $37.5 million of initial principal amount of the Convertible Notes for a total aggregate principal amount of up to $75.0 million.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assessed all terms and features of the Convertible Notes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Notes, including the conversion features related to a defaulting purchaser and highest interest rate, were not clearly and closely associated with a debt host. However, these features did not meet the definition of a derivative under ASC 815, Derivatives and Hedging, and as a result, did not require separate accounting as a derivative liability.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paid debt issuance costs of less than $0.1 million in relation to the Convertible Notes. The debt issuance costs were reflected as a reduction of the carrying value of Convertible Notes on the condensed consolidated balance sheet and were amortized as interest expense over the term of the Convertible Notes using the effective interest method. For the three and six months ended June 30, 2025, the Company recognized interest expense related to the Convertible Notes of $1.1 million and $2.2 million, respectively, which includes non-cash interest expense related to the amortization of debt issuance. No interest expense was recognized for the three and six months ended June 30, 2026 due to the conversion of the Convertible Notes immediately prior to the closing of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closing of the Merger, the Convertible Notes were converted into 12,808,261 shares of Pre-Merger Crescent common stock and pre-funded warrants to purchase 8,392,303 shares of Pre-Merger Crescent common stock based on the aggregate principal amount of $37.5 million plus $3.0 million in unpaid accrued interest divided by the conversion price in connection with the Pre-Closing Financing. At the closing of the Merger, the Pre-Merger Crescent common stock and pre-funded warrants issued in exchange for the Convertible Notes were converted into the right to receive 1,850,790 shares of common stock and pre-funded warrants to purchase 1,212,683 shares of common stock of the Company. In connection with the Redomestication, such shares of common stock and pre-funded warrants were converted to 1,850,790 ordinary shares and pre-funded warrants to purchase 1,212,683 ordinary shares of the Company, respectively. As of June 30, 2026, the Convertible Notes were not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8. Convertible Preferred Shares and Shareholders' Equity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pursuant to the Subscription Agreement and immediately prior to the Closing, certain new and current investors purchased pre-funded warrants of Pre-Merger Crescent for $1.9109 per warrant prior to the Exchange Ratio, or $13.22 per warrant as adjusted for the Exchange Ratio. At the Closing of the Merger, pre-funded warrants of Pre-Merger Crescent automatically converted to pre-funded warrants of the Company to purchase 2,767,122 shares of the Company common stock at an exercise price of $0.001 per share. In connection with the Redomestication, such pre-funded warrants converted to pre-funded warrants to purchase 2,767,122 ordinary shares at an exercise price of $0.001 per share.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a certain current investor purchased pre-funded warrants at a purchase price of $13.409 per share allowing for the purchase of 131,434 shares at an exercise price of $0.001 per share.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pre-funded warrants were recorded as a component of shareholders’ equity within additional paid-in-capital and have no expiration date. As of June 30, 2026, none of the pre-funded warrants have been exercised.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Convertible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2024, Pre-Merger Crescent issued and sold 20,000,000 shares of the Series Seed Convertible Preferred Stock to a related party, Fairmount Healthcare Fund II L.P., an affiliate fund of Fairmount, at a purchase price of $0.20 per share for gross proceeds of $4.0 million.</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Upon the issuance of the Pre-Merger Crescent Series Seed Preferred Stock, the Company assessed the embedded conversion and liquidation features of the securities as described below and determined that such features did not require the Company to separately account for these features as embedded derivatives.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June 2025, upon on the closing of the Merger, the outstanding Pre-Merger Crescent Series Seed Preferred Stock converted into 2,890 shares of Preferred Stock designated as Series A. In connection with the Redomestication, such shares of Series A designated Preferred Stock converted to 2,890 Series A designated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Convertible Preferred Shares consisted of the following (in thousands, except share amounts):</w:t>
      </w:r>
    </w:p>
    <w:tbl>
      <w:tblPr>
        <w:tblW w:w="9707" w:type="dxa"/>
        <w:jc w:val="left"/>
        <w:tblInd w:w="0" w:type="dxa"/>
        <w:tblLayout w:type="fixed"/>
        <w:tblCellMar>
          <w:top w:w="28" w:type="dxa"/>
          <w:left w:w="28" w:type="dxa"/>
          <w:bottom w:w="28" w:type="dxa"/>
          <w:right w:w="28" w:type="dxa"/>
        </w:tblCellMar>
      </w:tblPr>
      <w:tblGrid>
        <w:gridCol w:w="510"/>
        <w:gridCol w:w="449"/>
        <w:gridCol w:w="451"/>
        <w:gridCol w:w="350"/>
        <w:gridCol w:w="350"/>
        <w:gridCol w:w="351"/>
        <w:gridCol w:w="109"/>
        <w:gridCol w:w="109"/>
        <w:gridCol w:w="109"/>
        <w:gridCol w:w="434"/>
        <w:gridCol w:w="434"/>
        <w:gridCol w:w="436"/>
        <w:gridCol w:w="109"/>
        <w:gridCol w:w="109"/>
        <w:gridCol w:w="109"/>
        <w:gridCol w:w="213"/>
        <w:gridCol w:w="622"/>
        <w:gridCol w:w="110"/>
        <w:gridCol w:w="109"/>
        <w:gridCol w:w="109"/>
        <w:gridCol w:w="109"/>
        <w:gridCol w:w="600"/>
        <w:gridCol w:w="1157"/>
        <w:gridCol w:w="313"/>
        <w:gridCol w:w="109"/>
        <w:gridCol w:w="109"/>
        <w:gridCol w:w="109"/>
        <w:gridCol w:w="473"/>
        <w:gridCol w:w="473"/>
        <w:gridCol w:w="673"/>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Shares Issued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w:t>
            </w:r>
          </w:p>
          <w:p>
            <w:pPr>
              <w:pStyle w:val="TableContents"/>
              <w:bidi w:val="0"/>
              <w:spacing w:lineRule="auto" w:line="288" w:before="0" w:after="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Liquidation Preference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Issuable Upon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Conversion</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2,890,000</w:t>
            </w:r>
          </w:p>
        </w:tc>
      </w:tr>
    </w:tbl>
    <w:tbl>
      <w:tblPr>
        <w:tblW w:w="9707" w:type="dxa"/>
        <w:jc w:val="center"/>
        <w:tblInd w:w="0" w:type="dxa"/>
        <w:tblLayout w:type="fixed"/>
        <w:tblCellMar>
          <w:top w:w="28" w:type="dxa"/>
          <w:left w:w="28" w:type="dxa"/>
          <w:bottom w:w="28" w:type="dxa"/>
          <w:right w:w="28" w:type="dxa"/>
        </w:tblCellMar>
      </w:tblPr>
      <w:tblGrid>
        <w:gridCol w:w="510"/>
        <w:gridCol w:w="449"/>
        <w:gridCol w:w="451"/>
        <w:gridCol w:w="350"/>
        <w:gridCol w:w="350"/>
        <w:gridCol w:w="351"/>
        <w:gridCol w:w="109"/>
        <w:gridCol w:w="109"/>
        <w:gridCol w:w="109"/>
        <w:gridCol w:w="434"/>
        <w:gridCol w:w="434"/>
        <w:gridCol w:w="436"/>
        <w:gridCol w:w="109"/>
        <w:gridCol w:w="109"/>
        <w:gridCol w:w="109"/>
        <w:gridCol w:w="213"/>
        <w:gridCol w:w="622"/>
        <w:gridCol w:w="110"/>
        <w:gridCol w:w="109"/>
        <w:gridCol w:w="109"/>
        <w:gridCol w:w="109"/>
        <w:gridCol w:w="600"/>
        <w:gridCol w:w="1157"/>
        <w:gridCol w:w="313"/>
        <w:gridCol w:w="109"/>
        <w:gridCol w:w="109"/>
        <w:gridCol w:w="109"/>
        <w:gridCol w:w="473"/>
        <w:gridCol w:w="473"/>
        <w:gridCol w:w="673"/>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Preferred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Shares Issued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and </w:t>
            </w:r>
          </w:p>
          <w:p>
            <w:pPr>
              <w:pStyle w:val="TableContents"/>
              <w:bidi w:val="0"/>
              <w:spacing w:lineRule="auto" w:line="288" w:before="0" w:after="6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Liquidation Preference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Issuable Upon </w:t>
            </w:r>
          </w:p>
          <w:p>
            <w:pPr>
              <w:pStyle w:val="TableContents"/>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Conversion</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2,890,000</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(1) Preferred shares designated as Series 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Certificate of Designation of Preferences, Rights and Limitations of the Series A Non-Voting Convertible Preferred Shares (the “Series A Certificate of Designation”), holders of Series A designated Preferred Shares are entitled to receive dividends on shares of Series A designated Preferred Shares equal to, on an as-if-converted-to-Company Ordinary Shares basis, and in the same form as, dividends actually paid on Company ordinary shares. Except as provided in the Series A Certificate of Designation or as otherwise required by law, the Company Series A designated Preferred Shares do not have voting rights. The Company Series A designated Preferred Shares shall rank on parity with the Company ordinary shares as to the distribution of assets upon any liquidation, dissolution, or winding-up of the Company. Each Series A designated Preferred Share is convertible at the option of the holder, at any time, and without the payment of additional consideration by the holder into ordinary shares of the Company. As of June 30, 2026, each outstanding Series A designated Preferred Share was convertible into ordinary shares at a ratio of 1,000:1.</w:t>
      </w:r>
    </w:p>
    <w:p>
      <w:pPr>
        <w:pStyle w:val="TextBody"/>
        <w:bidi w:val="0"/>
        <w:spacing w:lineRule="auto" w:line="288" w:before="0" w:after="200"/>
        <w:ind w:left="0" w:right="0" w:hanging="360"/>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the authority to issue a total of 175,000,000 ordinary shares at a par value of $0.001 per share. As of June 30, 2026, 27,756,044 ordinary shares were issued and outstanding, which includes 168,215 ordinary shares in connection with the issuance of RSAs. Each ordinary share entitles the holder to one vote, together with the holders of Convertible Preferred Shares, on all matters submitted to the shareholders for a vote. The holders of ordinary shares are entitled to receive dividends, if any, as declared by the Company’s board of directors (the “Board of Directors” or “Board”), subject to the preferential dividend rights of the holders of Convertible Preferred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an aggregate of 15,960,823 ordinary shares reserved for issuance (i) for the conversion of Series A designated Preferred Shares into ordinary shares, (ii) for the exercise of outstanding and issued options for ordinary shares, (iii) for shares available for future grants, (iv) for settlement of outstanding RSUs for ordinary shares, (v) for the exercise of the pre-funded warrants, and (vi) for the exercise of the Parascent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2024 Equity Incentive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2024 Equity Incentive Plan (“2024 Plan”) was adopted by the board of directors of Pre-Merger Crescent on September 19, 2024. The 2024 Plan provided for Pre-Merger Crescent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stock options have been granted with vesting terms less than four years. As of June 30, 2026, there are no ordinary shares available for issuance under the 2024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Stock Incentive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2025 Stock Incentive Plan (as amended from time to time, the “2025 Stock Plan”) was approved by the board of directors of GlycoMimetics on May 11, 2025, and by GlycoMimetics stockholders on June 5, 2025, and effective as of the Redomestication, the Board of Directors approved an amendment and restatement of the 2025 Stock Plan to reflect the conversion of Company common stock into Company ordinary shares in connection with the Redomestication. The 2025 Stock Plan allows for the grant of stock options, stock appreciation rights, RSAs, RSUs, other shareholder-based awards and incentive bonuses. The 2025 Stock Plan is administered by the Compensation Committee of the Board (the “Compensation Committee”) or another committee designated by the Board to administer the Plan. The initial share pool under the 2025 Stock Plan was 2,345,962 ordinary shares, and as of June 30, 2026, there are 1,775,895 shares available in the pool. The shares that may be issued under the 2025 Stock Plan are automatically increased on January 1 of each year beginning in 2026 and ending with a final increase on January 1, 2035 in an amount equal to 5% of the diluted shares (including ordinary shares, preferred shares and unexercised pre-funded warrants) on the preceding December 31, unless a lower, or no, increase is determined by the Compensation Committee. On January 1, 2026, 1,667,266 shares were added to the issuable shares under the 2025 Stock Plan. Current or prospective employees, officers, non-employee directors, and other independent service providers of the Company and its subsidiaries are eligible to participate in the 2025 Stock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Employment Inducement Incentive Award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Crescent Biopharma, Inc. 2025 Employment Inducement Incentive Award Plan (as amended from time to time, the “2025 Inducement Plan”) was approved by the board of directors of Crescent Biopharma, Inc. on October 30, 2025. The 2025 Inducement Plan allows for the grant of stock options, stock appreciation rights, RSAs, RSUs, other shareholder-based awards and incentive bonuses. The 2025 Inducement Plan is administered by the Compensation Committee or another committee designated by the Board to administer the Plan. The initial share pool under the 2025 Inducement Plan was 1,250,000 ordinary shares, and as of June 30, 2026, there are 289,449 shares available for future awards under the 2025 Inducement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Crescent Biopharma, Inc. 2025 Employee Stock Purchase Plan (as amended from time to time, the “ESPP”) was approved by the board of directors of GlycoMimetics on May 11, 2025, and by GlycoMimetics stockholders on June 5, 2025, and effective as of the Redomestication, Board of Directors approved an amendment and restatement of the ESPP to reflect the conversion of Company common stock into Company ordinary shares in connection with the Redomestication. The shares that may be issued under the ESPP are automatically increased on January 1 of each year beginning in 2026 and ending with a final increase on January 1, 2035 in an amount equal to 1% of the diluted shares (including ordinary shares, preferred shares and unexercised pre-funded warrants) on the preceding December 31, unless a lower, or no, increase is determined by the Compensation Committee. On January 1, 2026, 333,453 shares were added to the issuable shares under the ESPP. As of June 30, 2026, 25,172 shares have been issued out of the ESPP and 503,778 shares remain reserved for issuance.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 Valuation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calculating the fair value of the awards during the six months ended June 30, 2026 and June 30, 2025:</w:t>
      </w:r>
    </w:p>
    <w:tbl>
      <w:tblPr>
        <w:tblW w:w="5724" w:type="dxa"/>
        <w:jc w:val="center"/>
        <w:tblInd w:w="0" w:type="dxa"/>
        <w:tblLayout w:type="fixed"/>
        <w:tblCellMar>
          <w:top w:w="28" w:type="dxa"/>
          <w:left w:w="28" w:type="dxa"/>
          <w:bottom w:w="28" w:type="dxa"/>
          <w:right w:w="28" w:type="dxa"/>
        </w:tblCellMar>
      </w:tblPr>
      <w:tblGrid>
        <w:gridCol w:w="755"/>
        <w:gridCol w:w="663"/>
        <w:gridCol w:w="666"/>
        <w:gridCol w:w="544"/>
        <w:gridCol w:w="544"/>
        <w:gridCol w:w="546"/>
        <w:gridCol w:w="109"/>
        <w:gridCol w:w="109"/>
        <w:gridCol w:w="109"/>
        <w:gridCol w:w="490"/>
        <w:gridCol w:w="490"/>
        <w:gridCol w:w="69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during the six months ended June 30, 2026:</w:t>
      </w:r>
    </w:p>
    <w:tbl>
      <w:tblPr>
        <w:tblW w:w="10098" w:type="dxa"/>
        <w:jc w:val="left"/>
        <w:tblInd w:w="0" w:type="dxa"/>
        <w:tblLayout w:type="fixed"/>
        <w:tblCellMar>
          <w:top w:w="28" w:type="dxa"/>
          <w:left w:w="28" w:type="dxa"/>
          <w:bottom w:w="28" w:type="dxa"/>
          <w:right w:w="28" w:type="dxa"/>
        </w:tblCellMar>
      </w:tblPr>
      <w:tblGrid>
        <w:gridCol w:w="1445"/>
        <w:gridCol w:w="1269"/>
        <w:gridCol w:w="1276"/>
        <w:gridCol w:w="334"/>
        <w:gridCol w:w="334"/>
        <w:gridCol w:w="336"/>
        <w:gridCol w:w="109"/>
        <w:gridCol w:w="109"/>
        <w:gridCol w:w="109"/>
        <w:gridCol w:w="301"/>
        <w:gridCol w:w="879"/>
        <w:gridCol w:w="155"/>
        <w:gridCol w:w="109"/>
        <w:gridCol w:w="109"/>
        <w:gridCol w:w="109"/>
        <w:gridCol w:w="559"/>
        <w:gridCol w:w="559"/>
        <w:gridCol w:w="561"/>
        <w:gridCol w:w="109"/>
        <w:gridCol w:w="109"/>
        <w:gridCol w:w="109"/>
        <w:gridCol w:w="215"/>
        <w:gridCol w:w="737"/>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6,186,318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as of June 30, 2026</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grant-date fair value of stock options granted during the six months ended June 30, 2026 and June 30, 2025 was $12.64 and $6.51, respectively. The aggregate intrinsic value of stock options is calculated as the difference between the exercise price of the stock options and the fair value of the Company’s ordinary shares for those stock options that had an exercise price lower than the fair value of the Company’s ordinary shares.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RSUs have service-based vesting conditions and vest over a four-year period with one quarter of the RSUs vesting on the anniversary of the grant date and the remainder vesting quarterly thereafter, during which time all unvested shares are subject to forfeiture by the Company in the event the holder’s service with the Company voluntarily or involuntarily terminates.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during the six months ended June 30, 2026:</w:t>
      </w:r>
    </w:p>
    <w:tbl>
      <w:tblPr>
        <w:tblW w:w="6985" w:type="dxa"/>
        <w:jc w:val="center"/>
        <w:tblInd w:w="0" w:type="dxa"/>
        <w:tblLayout w:type="fixed"/>
        <w:tblCellMar>
          <w:top w:w="28" w:type="dxa"/>
          <w:left w:w="28" w:type="dxa"/>
          <w:bottom w:w="28" w:type="dxa"/>
          <w:right w:w="28" w:type="dxa"/>
        </w:tblCellMar>
      </w:tblPr>
      <w:tblGrid>
        <w:gridCol w:w="1303"/>
        <w:gridCol w:w="1144"/>
        <w:gridCol w:w="1152"/>
        <w:gridCol w:w="334"/>
        <w:gridCol w:w="334"/>
        <w:gridCol w:w="336"/>
        <w:gridCol w:w="109"/>
        <w:gridCol w:w="109"/>
        <w:gridCol w:w="109"/>
        <w:gridCol w:w="494"/>
        <w:gridCol w:w="1198"/>
        <w:gridCol w:w="363"/>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RSUs were granted during the six months ended June 30, 2026. The weighted average grant date fair value of RSUs granted during the six months ended June 30, 2025 was $6.16. The total fair value of shares vested for the six months ended June 30, 2026 was $1.3 million. No shares vested during the six months ended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RSAs generally have service-based vesting conditions over a four-year period, with one quarter of the RSAs vesting on the anniversary of the grant date and the remainder vesting monthly thereafter. All unvested awards are subject to forfeiture in the event the holder’s service with the Company voluntarily or involuntarily terminates.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RSA activity during the six months ended June 30, 2026:</w:t>
      </w:r>
    </w:p>
    <w:tbl>
      <w:tblPr>
        <w:tblW w:w="6654" w:type="dxa"/>
        <w:jc w:val="center"/>
        <w:tblInd w:w="0" w:type="dxa"/>
        <w:tblLayout w:type="fixed"/>
        <w:tblCellMar>
          <w:top w:w="28" w:type="dxa"/>
          <w:left w:w="28" w:type="dxa"/>
          <w:bottom w:w="28" w:type="dxa"/>
          <w:right w:w="28" w:type="dxa"/>
        </w:tblCellMar>
      </w:tblPr>
      <w:tblGrid>
        <w:gridCol w:w="1303"/>
        <w:gridCol w:w="1144"/>
        <w:gridCol w:w="1152"/>
        <w:gridCol w:w="334"/>
        <w:gridCol w:w="334"/>
        <w:gridCol w:w="336"/>
        <w:gridCol w:w="109"/>
        <w:gridCol w:w="109"/>
        <w:gridCol w:w="109"/>
        <w:gridCol w:w="414"/>
        <w:gridCol w:w="1005"/>
        <w:gridCol w:w="305"/>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w:t>
              <w:br/>
              <w:t>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1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RSAs were granted during the six months ended June 30, 2026 or June 30, 2025. The total fair value of shares vested for the six months ended June 30, 2026 was less than $0.1 million. No awards vested during the six months ended June 30, 2025.</w: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Parascent Warrant Obligation</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Option Termination Agreement (as defined below), under the terms of the Antibody Paragon Option Agreement (as defined below), Parascent was entitled to a grant of warrants to purchase in the aggregate a number of shares equal to 1.00% of the then outstanding shares of the Company’s ordinary shares, on a fully diluted basis, on December 31, 2026, at the fair market value determined by the Board of Directors (the “Parascent Warrant Obligation”). Parascent is an entity formed by Paragon as a vehicle to hold equity in the Company in order to share profits with certain employees of Paragon.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Paragon terminated the ADC Paragon Option Agreement on March 26, 2026 (the “Option Termination Agreement”). In accordance with the Option Termination Agreement, the Company granted 34,566 warrants to Parascent with a grant date of March 26, 2026. Parascent’s warrant has a service inception period for the grant preceding the grant date, with the full award being vested as of the grant date with no post-grant date service requirement.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Parascent warrants were liability-classified and after the initial recognition, the liability was adjusted to fair value using an option-pricing model at the end of each reporting period, with changes in fair value recorded in the condensed consolidated statement of operations and comprehensive loss. Upon termination, the warrants are equity classified and are no longer subject to remeasurement at fair value.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outstanding liability classified warrants to revalue as of June 30, 2026. The following table summarizes the assumptions used in calculating the fair value of the warrants as of June 30, 2025 :</w:t>
      </w:r>
    </w:p>
    <w:tbl>
      <w:tblPr>
        <w:tblW w:w="3086"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197"/>
        <w:gridCol w:w="197"/>
        <w:gridCol w:w="28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of the Company’s share-based compensation expense in the condensed consolidated statement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878"/>
        <w:gridCol w:w="771"/>
        <w:gridCol w:w="773"/>
        <w:gridCol w:w="322"/>
        <w:gridCol w:w="942"/>
        <w:gridCol w:w="166"/>
        <w:gridCol w:w="109"/>
        <w:gridCol w:w="109"/>
        <w:gridCol w:w="109"/>
        <w:gridCol w:w="293"/>
        <w:gridCol w:w="858"/>
        <w:gridCol w:w="151"/>
        <w:gridCol w:w="109"/>
        <w:gridCol w:w="109"/>
        <w:gridCol w:w="109"/>
        <w:gridCol w:w="467"/>
        <w:gridCol w:w="1365"/>
        <w:gridCol w:w="241"/>
        <w:gridCol w:w="109"/>
        <w:gridCol w:w="109"/>
        <w:gridCol w:w="109"/>
        <w:gridCol w:w="428"/>
        <w:gridCol w:w="1250"/>
        <w:gridCol w:w="319"/>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unrecognized compensation cost (in thousands) and weighted average recognition period for the Company’s awards as of June 30, 2026:</w:t>
      </w:r>
    </w:p>
    <w:tbl>
      <w:tblPr>
        <w:tblW w:w="8800" w:type="dxa"/>
        <w:jc w:val="center"/>
        <w:tblInd w:w="0" w:type="dxa"/>
        <w:tblLayout w:type="fixed"/>
        <w:tblCellMar>
          <w:top w:w="28" w:type="dxa"/>
          <w:left w:w="28" w:type="dxa"/>
          <w:bottom w:w="28" w:type="dxa"/>
          <w:right w:w="28" w:type="dxa"/>
        </w:tblCellMar>
      </w:tblPr>
      <w:tblGrid>
        <w:gridCol w:w="734"/>
        <w:gridCol w:w="644"/>
        <w:gridCol w:w="647"/>
        <w:gridCol w:w="615"/>
        <w:gridCol w:w="2107"/>
        <w:gridCol w:w="322"/>
        <w:gridCol w:w="109"/>
        <w:gridCol w:w="109"/>
        <w:gridCol w:w="109"/>
        <w:gridCol w:w="997"/>
        <w:gridCol w:w="997"/>
        <w:gridCol w:w="1410"/>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Unrecognized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Recognition Period</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years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 years</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award types of the Company’s share-based compensation expense in the condensed consolidated statement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1003"/>
        <w:gridCol w:w="715"/>
        <w:gridCol w:w="694"/>
        <w:gridCol w:w="322"/>
        <w:gridCol w:w="943"/>
        <w:gridCol w:w="166"/>
        <w:gridCol w:w="109"/>
        <w:gridCol w:w="109"/>
        <w:gridCol w:w="109"/>
        <w:gridCol w:w="294"/>
        <w:gridCol w:w="859"/>
        <w:gridCol w:w="151"/>
        <w:gridCol w:w="109"/>
        <w:gridCol w:w="109"/>
        <w:gridCol w:w="109"/>
        <w:gridCol w:w="468"/>
        <w:gridCol w:w="1367"/>
        <w:gridCol w:w="241"/>
        <w:gridCol w:w="109"/>
        <w:gridCol w:w="109"/>
        <w:gridCol w:w="109"/>
        <w:gridCol w:w="428"/>
        <w:gridCol w:w="1253"/>
        <w:gridCol w:w="320"/>
      </w:tblGrid>
      <w:tr>
        <w:trPr/>
        <w:tc>
          <w:tcPr>
            <w:tcW w:w="10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Parascent warrant obligation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There was no income tax provision recorded for the three and six months ended June 30, 2026 and June 30, 2025 and, therefore, the Company’s effective income tax rate was 0.0% for the three and six months ended June 30, 2026 and June 30, 2025. The effective income tax rate for the three and six months ended June 30, 2026 and for the three and six months ended June 30, 2025 differed from the 21% federal statutory rate due primarily to the valuation allowance maintained against the Company’s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11. License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Paragon Option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entered into the Antibody Paragon Option Agreement with Paragon and Parascent for CR-001, with the selected targets PD-1 and VEGF (the “Antibody Paragon Option Agreement”). In October 2024, the Company entered into the ADC Paragon Option Agreement with Paragon and Parascent for CR-002, with an undisclosed target (as amended, the “ADC Paragon Option Agreement” and, together with the Antibody Paragon Option Agreement, the “Paragon Option Agreements”). Parascent will not perform any substantive role under the Paragon Option Agreements other than to receive such warrants as discussed in Note 9. Under the Paragon Option Agreements, the Company has the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exclusive option (an “Option”), on a Research Program-by-Research Program basis, to enter into a separate agreement with Paragon consistent with a set of pre-negotiated terms (a “License Agreement”). On March 18, 2025, the Company exercised its option for CR-001 under the Antibody Paragon Option Agreement and entered into the license agreement for CR-001 on April 28, 2025. On September 26, 2025, the Company exercised its option for CR-002 under the ADC Paragon Option Agreement and entered into a license agreement with Paragon on November 5, 2025. The Company will be required to make non-refundable milestone payments to Paragon of up to $22.0 million for CR-001 and up to $46.0 million for CR-002 upon the achievement of certain clinical development and regulatory milestones, as well as tiered royalty payments in the low-to-mid single-digits beginning on the first commercial sale of each developed product. From time to time, the Company can choose to add additional targets by mutual agreement with Paragon.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2025, the Company entered into an Amended and Restated Paragon ADC Option Agreement to add undisclosed targets for the product candidate formerly referred to as CR-003 (“Former CR-003”), pursuant to which Paragon agreed to execute a mutually agreed research plan for those targets aimed at producing a potential product candidate to be licensed for further development, manufacture, and commercialization by the Company. On February 24, 2026, the Company provided notice to Paragon of its intention to terminate the ADC Paragon Option Agreement and the agreement terminated on March 26, 2026 (the “ADC Option Agreement Termination”). The Company will no longer license intellectual property rights with respect to Former CR-003 following the ADC Option Agreement Termination.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terms of the Paragon Option Agreements, Paragon agreed to perform certain research activities to discover, generate, identify, and characterize one or more antibody candidates, in the case of the Antibody Paragon Option Agreement, and one or more antibody drug conjugates, in the case of the ADC Paragon Option Agreement, directed to certain mutually agreed therapeutic targets of interest to the Company (each, a “Research Program”). The Paragon Option Agreements required the Company, Paragon, and Parascent to develop a research plan for each target that includes design, modeling, synthesis, evaluation, and other mutually agreed activities (each, a “Research Plan”), which activities primarily included performing preclinical studies. Paragon performed the activities set forth in each Research Plan on the timelines set forth in such Research Plan and in compliance with a mutually agreed budget. Each Research Program was overseen and coordinated by a joint development committee consisting of two employees from the Company and two employees from Paragon, with the Company and Paragon each having one vote with respect to decisions of the committee. When Paragon and Parascent produced an antibody or ADC, as applicable, against a selected target, and upon the completion of each Research Program, Paragon and Parascent delivered to the Company a data package that included sequence information for all then-existing antibodies or ADCs, as applicable, and information directed to such target.</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may terminate the Antibody Paragon Option Agreement or any Research Program at any time for any or no reason upon 30 days’ prior written notice to Paragon, provided that the Company must pay any outstanding accrued fees due to Paragon upon such termination, as well as any non-cancellable obligations reasonably incurred by Paragon in connection with its activities under any terminated Research Program.</w:t>
      </w:r>
    </w:p>
    <w:p>
      <w:pPr>
        <w:pStyle w:val="TextBody"/>
        <w:bidi w:val="0"/>
        <w:spacing w:lineRule="auto" w:line="288" w:before="0" w:after="200"/>
        <w:jc w:val="both"/>
        <w:rPr/>
      </w:pPr>
      <w:r>
        <w:rPr>
          <w:rFonts w:ascii="Times New Roman;serif" w:hAnsi="Times New Roman;serif"/>
          <w:b w:val="false"/>
          <w:color w:val="000000"/>
          <w:sz w:val="20"/>
        </w:rPr>
        <w:t>Under the Paragon Option Agreements, the Company is or was also responsible for certain additional development costs incurred by Par</w:t>
      </w:r>
      <w:r>
        <w:rPr>
          <w:rFonts w:ascii="Times New Roman;serif" w:hAnsi="Times New Roman;serif"/>
          <w:b w:val="false"/>
          <w:color w:val="000000"/>
          <w:sz w:val="20"/>
          <w:shd w:fill="FFFFFF" w:val="clear"/>
        </w:rPr>
        <w:t>agon. The Company expenses the fees incurred under the Paragon Option Agreements as the associated costs are incurred when the underlying services are rendered. Such amounts are classified within research and development expenses and general and administrative expenses in the accompanying condensed consolidated statement of operations and comprehensive loss. The f</w:t>
      </w:r>
      <w:r>
        <w:rPr>
          <w:rFonts w:ascii="Times New Roman;serif" w:hAnsi="Times New Roman;serif"/>
          <w:b w:val="false"/>
          <w:color w:val="000000"/>
          <w:sz w:val="20"/>
        </w:rPr>
        <w:t>ollowing is a summary of expenses related to the development costs and license fees related to the Paragon Option Agreements recorded within the condensed consolidated statements of operations for the periods presented (in thousands):</w:t>
      </w:r>
    </w:p>
    <w:tbl>
      <w:tblPr>
        <w:tblW w:w="10205" w:type="dxa"/>
        <w:jc w:val="center"/>
        <w:tblInd w:w="0" w:type="dxa"/>
        <w:tblLayout w:type="fixed"/>
        <w:tblCellMar>
          <w:top w:w="28" w:type="dxa"/>
          <w:left w:w="28" w:type="dxa"/>
          <w:bottom w:w="28" w:type="dxa"/>
          <w:right w:w="28" w:type="dxa"/>
        </w:tblCellMar>
      </w:tblPr>
      <w:tblGrid>
        <w:gridCol w:w="772"/>
        <w:gridCol w:w="624"/>
        <w:gridCol w:w="627"/>
        <w:gridCol w:w="503"/>
        <w:gridCol w:w="971"/>
        <w:gridCol w:w="264"/>
        <w:gridCol w:w="109"/>
        <w:gridCol w:w="109"/>
        <w:gridCol w:w="109"/>
        <w:gridCol w:w="394"/>
        <w:gridCol w:w="1152"/>
        <w:gridCol w:w="203"/>
        <w:gridCol w:w="109"/>
        <w:gridCol w:w="109"/>
        <w:gridCol w:w="109"/>
        <w:gridCol w:w="417"/>
        <w:gridCol w:w="1219"/>
        <w:gridCol w:w="215"/>
        <w:gridCol w:w="109"/>
        <w:gridCol w:w="109"/>
        <w:gridCol w:w="109"/>
        <w:gridCol w:w="360"/>
        <w:gridCol w:w="1232"/>
        <w:gridCol w:w="271"/>
      </w:tblGrid>
      <w:tr>
        <w:trPr/>
        <w:tc>
          <w:tcPr>
            <w:tcW w:w="7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Paragon expenses</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balance and $0.1 million related to Paragon included in related party accounts payable and other current liabilities within the condensed consolidated balance sheet as of June 30, 2026 and December 31, 2025, respectively.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as part of the Paragon Option Agreements, on each of December 31, 2025 and December 31, 2026, the Company has agreed to grant Parascent warrants to purchase an aggregate number of shares equal to 1.00% of its outstanding share capital as of the date of the grant on a fully-diluted basis, with an exercise price equal to the fair market value of the underlying ordinary shares on each respective grant date. The warrants are liability-classified and after the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initial recognition, the liability is adjusted to fair value at the end of each reporting period, with changes in fair value recorded in the condensed consolidated statement of operations and comprehensive loss. In accordance with the terms of the ADC Paragon Option Agreement, the Company issued 402,731 warrants on December 31, 2025. In connection with the ADC Option Agreement Termination, the Company issued 34,566 warrants to Parascent on March 26, 2026 (see Note 9).</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 rights obtained under the Paragon Option Agreements represent asset acquisitions whereby the underlying assets comprise in-process research and development assets with no alternative future use. The Paragon Option Agreements did not qualify as a business combination because substantially all of the fair value of the assets acquired was concentrated in the exclusive license options, which represent a group of similar identifiable assets. The research initiation fees represent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Paragon Option Agreements that associated with services being rendered under the related Research Programs is recognized as research and development expense when incurred.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28, 2025, the Company entered into a License Agreement with Paragon for all antibodies discovered, generated, identified, or characterized by Paragon in the course of performing the CR-001 research program directed to PD-1 and VEGF, antibodies created by the Company derived from the licensed antibodies and directed to PD-1 and VEGF, and products that comprise the foregoing (the “CR-001 License Agreement”) consistent with the pre-negotiated terms agreed to upon execution of the Paragon Option Agreements, pursuant to which Paragon granted the Company a royalty-bearing, worldwide, exclusive, and sublicensable license with respect to certain inventions, patent rights, sequence information, and other intellectual property rights related to monospecific antibodies directed at the VEGF and PD-1 targets (the “Licensed Antibody Technology”) to use, make, sell, import, export, and otherwise exploit certain Licensed Antibodies, Derived Antibodies, Products, Multispecific Antibodies, and Multispecific Products in the Field in the Territory. Under the terms of the CR-001 License Agreement, the Company is obligated to pay Paragon up to $22.0 million based on specific development and regulatory milestones, including $2.5 million paid in February 2026 upon the first dosing of a human patient in a Phase 1 trial and a further milestone payment of $3.0 million being due in the future upon the first dosing of a human patient in a Phase 2 trial. Following the execution of the CR-001 License Agreement, the Company is solely responsible for, and has sole authority and control over, all aspects of the development, manufacturing, and commercialization of product candidates under the CR-001 program, including regulatory strategy, communications, filings, and activities (including clinical trials). Paragon also granted the Company a royalty-bearing, worldwide, non-exclusive, sublicensable right and license under the Licensed Antibody Technology to use, make, sell, import, export, or otherwise exploit certain multispecific antibodies and products targeting PD-1 and VEGF. In addition, the following summarizes other key terms of the CR-001 License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Paragon will not conduct any new campaigns that generate PD-1 and VEGF and monospecific antibodies in the field for at least five years.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Paragon may pursue the development and commercialization of multispecific antibodies and products directed at the PD-1 and VEGF and targets in the field and in the territory and the Company has a right of first negotiation for any such multispecific antibodies and products proposed by Paragon for a period of five years from the execution of the CR-001 License Agreement. If the Company does not exercise its right of first negotiation, or if the parties are unable to agree on a definitive agreement, Paragon may proceed without any obligations to the Company with respect to the right of first negotiation, and the Company’s non-exclusive license will exclude any multispecific antibodies and products that were the subject of the right of first negotiation.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will pay Paragon a low-to-mid single-digit percentage royalty based on annual net sales of the products in the field and in the territory, and a mid single-digit percentage royalty based on annual net sales of the multispecific products in the field and in the territory, subject to a 30% reduction if there is no valid patent covering the product in the country.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royalty term ends on the later of (i) the twelfth anniversary of such date or (ii) the expiration of the last-to- expire valid patent covering the product or the multispecific product in the country at issue.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CR-001 License Agreement may be terminated on 60 days’ notice by the Company, upon material breach without cure; and to the extent permitted by law, upon a party’s insolvency or bankruptcy.</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With respect to patents licensed to the Company under the CR-001 License Agreement that have been filed as of the effective date of the CR-001 License Agreement, the Company will control the preparing, filing, prosecuting, and maintenance of such patents. With respect to patents filed after the effective date of the CR-001 License Agreement, Paragon will control the preparing, filing, prosecuting, and maintaining of such patents until the final deliverable for the relevant research program is delivered to the Company, after which the Company will control the preparing, filing, prosecuting, and maintain of such patents.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shall have the right to grant sublicenses under the CR-001 License Agreement, provided that (i) any sublicense agreement is consistent with all relevant terms, conditions, and restrictions of the CR-001 License Agreement, (ii) the Company provides Paragon with a copy of each sublicense agreement and any amendments thereto within 30 days following execution thereof and (iii) the Company remains responsible for all payments and obligations due under the 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Amendment No. 1 (the “Amendment”) to the License Agreement, dated April 28, 2025, by and between the Company and Paragon relating to the CR-001 License Agreement. The purpose of the Amendment was to amend certain terms of the CR-001 License Agreement for the sole purpose of accommodating and aligning with the sublicense for the CR-001 License Agreement with Sichuan Kelun-Biotech Biopharmaceutical Co., Ltd. (“Kelun”) discussed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CR-002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entered into a License Agreement for all ADCs discovered, generated, identified or characterized by Paragon in the course of performing the CR-002 research program directed to PD-L1, ADCs created by the Company derived from the licensed ADCs and directed to PD-L1, and products that comprise the foregoing with Paragon (the “CR-002 License Agreement”) consistent with the pre-negotiated terms agreed to upon execution of the ADC Paragon Option Agreement, pursuant to which Paragon granted the Company a royalty-bearing, worldwide, exclusive and sublicensable license with respect to certain inventions, patent rights, sequence information and other intellectual property rights related to ADCs directed at PD-1 and VEGF (the “Licensed Antibody Technology”) to develop, manufacture, commercialize and otherwise exploit certain ADCs and products targeting PD-L1 in the field of prophylaxis, palliation, treatment and diagnosis of human disease and disorders in all therapeutic areas (the “field”) and worldwide (the “territory”). Under the terms of the CR-002 License Agreement, the Company is obligated to pay Paragon up to $46.0 million based on specific development and regulatory milestones, including a $5.0 million fee for the nomination of a development candidate that was paid in October 2025 and a future milestone payment of $5.0 million upon the first dosing of a human patient in a Phase 1 trial. Following the execution of the CR-002 License Agreement, the Company is solely responsible for, and has sole authority and control over, all aspects of the development, manufacturing and commercialization of CR-002, including regulatory strategy, communications, filings and activities (including clinical trials). In addition, the following summarizes other key terms of the CR-002 License Agreement.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will pay Paragon a low-to-mid single-digit percentage royalty based on annual net sales of the products in the field and in the territory, subject to a 30% reduction if there is no valid patent covering the product in the country.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royalty term ends on the later of (i) the twelfth anniversary of such date or (ii) the expiration of the last-to-expire valid patent covering the product in the country at issue.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CR-002 License Agreement may be terminated on 60 days’ notice by the Company, on material breach without cure; and to the extent permitted by law, on a party’s insolvency or bankruptcy.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With respect to patents licensed to the Company under the CR-002 License Agreement that have been filed as of the effective date of the CR-002 License Agreement, the Company will control the preparing, filing, prosecuting and maintenance of such patents. With respect to patents filed after the effective date of the CR-002 License Agreement, Paragon will control the preparing, filing, prosecuting and maintaining of such patents until the final deliverable for the relevant research program is delivered to the Company, after which the Company will control the preparing, filing, prosecuting and maintain of such patents.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Company shall have the right to grant sublicenses under the CR-002 License Agreement, provided that (i) any sublicense agreement is consistent with all relevant terms, conditions and restrictions of the CR-002 License Agreement, (ii) the Company provides Paragon with a copy of each sublicense agreement and any amendments thereto within 30 days following execution thereof and (iii) the Company remains responsible for all payments and obligations due under the CR-002 License Agreement.</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Kelun License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two license agreements with Kelun, each of which is described below.</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CR-001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and Kelun entered into a License Agreement (the “Kelun CR-001 License Agreement”) under which the Company granted Kelun an exclusive, royalty-bearing license to research, develop, manufacture and commercialize CR-001, the Company’s proprietary bispecific antibody directed to VEGF and PD-1, in greater China (including mainland China, Hong Kong, Macau and Taiwan) (collectively, the “SKB Territory”). The Company retains all rights to CR-001 outside the SKB Territory.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Kelun CR-001 License Agreement, Kelun is responsible for development, manufacturing, regulatory and commercial activities for CR-001 in the SKB Territory, and is obligated to use commercially reasonable efforts to develop and commercialize at least one CR-001 product candidate in the SKB Territory.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Kelun paid or will pay the Company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$20.0 million within 30 days of signing;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$30.0 million in development and regulatory milestone payments;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tiered royalties ranging from low- to mid-single digits based on annual net sales in the SKB Territory, subject to customary reductions and a royalty floor on reductions.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the Company may be required to pay back to Kelun $5.0 million if Kelun initiates a combination study (the “Combination Study”) approved by the Company with CR-001 prior to December 31,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Kelun CR-001 License Agreement includes the provision of the initial supply of CR-001 drug product by the Company, a data-sharing framework, know-how and manufacturing technology transfer provisions, intellectual property provisions, and customary termination rights, including reversion and license-back mechanics in specified circumstances.</w:t>
      </w:r>
    </w:p>
    <w:p>
      <w:pPr>
        <w:pStyle w:val="TextBody"/>
        <w:bidi w:val="0"/>
        <w:spacing w:lineRule="auto" w:line="288" w:before="0" w:after="200"/>
        <w:jc w:val="both"/>
        <w:rPr/>
      </w:pPr>
      <w:r>
        <w:rPr>
          <w:rFonts w:ascii="Times New Roman;serif" w:hAnsi="Times New Roman;serif"/>
          <w:b w:val="false"/>
          <w:color w:val="000000"/>
          <w:sz w:val="20"/>
        </w:rPr>
        <w:t xml:space="preserve">The Kelun CR-001 License Agreement is in the scope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Company concluded that the Kelun CR-001 License Agreement contains two performance obligations for the transfer of an exclusive license and the provision of an initial supply of CR-001 as the two services are distinct within the context of the contract.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Of the $20.0 million payable upon signing of the agreement, $15.0 million was included in the transaction price. As of June 30, 2026, the Company recorded $5.0 million of the $20.0 million upfront payment on the condensed consolidated balance sheet as a deposit liability related to contingent consideration payable back to Kelun. The amount is returnable to Kelun if they initiate the Combination Study prior to December 31, 2026. In July 2026, Kelun initiated a Combination Study with CR-001 and we anticipate paying the contingent consideration to Kelun during the three months ended September 30, 2026. Of the transaction price of $15.0 million, $4.2 million was allocated to the initial supply performance obligation and $10.8 million was allocated to the license, which was recognized at a point in time during the year ended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was allocated to the two performance obligations on a relative estimated standalone selling prices utilizing market data. The standalone selling price of the performance obligations were estimated using a market approach that maximized the use of observable inputs.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recognized $0.0 million and $1.0 million of revenue allocated to the provision of the initial supply during the three and six months ended June 30, 2026, respectively, as the Company transferred control of the initial supply. All revenues recognized during the six months ended June 30, 2026 were previously included as a contract liability as of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$3.1 million on the condensed consolidated balance sheet within deferred revenue related to the performance obligation for the remaining initial supply of CR-001, which will be recognized as revenue when control of the initial supply of CR-001 is transferred, which is expected throughout the remainder of 2026.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$30.0 million in development and regulatory milestone payments are fully constrained as variable consideration due to the uncertainty associated with the occurrence of the underlying events that would trigger the development and regulatory milestone consideration and therefore are not included in the transaction price of the arrangement. The Company will reassess this conclusion at each subsequent reporting period and will only include amounts associated with development or regulatory milestones in the transaction price when, or if, the variable consideration is determined to be released from constraint.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not recognized any royalties under its licensing agreement. Royalties qualify for the sales-and-usage exemption under ASC 606 as (i) royalties are based strictly on the sale-and-usage by the licensee and (ii) a license of intellectual property is the sole or predominant item to which such royalties relate. Based on this exemption, these royalties are earned under the terms of a license agreement in the period the products are sold by the Company’s collaborator and the Company has a present right to payment.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SKB105 License and Collaboration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 2025, the Company and Kelun entered into a License and Collaboration Agreement (the “SKB105 License Agreement”), under which Kelun granted the Company an exclusive license to research, develop, manufacture and commercialize SKB105, Kelun’s proprietary integrin beta-6-directed antibody-drug conjugate, in all territories outside the SKB Territory. The Company intends to develop SKB105 as CR-003, a product designation which previously referred to a preclinical ADC asset under the Paragon Option Agreements discussed elsewhere in this Note 11 to the condensed consolidated financial statements.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responsible for all development, manufacturing, regulatory and commercial activities for SKB105 outside the SKB Territory and is obligated to use commercially reasonable efforts to develop, obtain regulatory approval for, manufacture (or have manufactured) and commercialize at least one SKB105 product in the United States and at least three (3) major European markets.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SKB105 License Agreement, the Company has paid or agreed to pay Kelun: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$80.0 million upfront;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$345.0 million in development milestone payments;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up to $902.5 million in sales-based milestone payments;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tiered royalties ranging from mid-single digits to low-double digits based on annual net sales, subject to customary reductions and a royalty floor;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sublicense and divestiture revenue-sharing payments of low double-digit percentages of any sublicense or divestiture consideration on account of SKB105 paid or payable to the Company within 18 months after the effective date of the definitive agreement in connection with any such triggering transaction;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potential payment of low-single digits to low-double digits of any change of control consideration (including cash or any other consideration) received by equity holders of the Company if the Company undergoes a qualifying change-of-control transaction within 24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the rights obtained under the SKB 105 License Agreement represents an asset acquisition whereby the underlying license intellectual property is in-process research and development intellectual property with no alternative future use. The SKB 105 License Agreement did not qualify as a business combination because substantially all of the fair value of the assets acquired was concentrated in the exclusive license.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research and development expense for the SKB105 License Agreement for the three and six months ended June 30, 2026. During January 2026, $8.0 million of withholding taxes was remitted to tax authorities on Kelun’s behalf and is included within purchase of research and development license on the consolidated statement of cash flows. A portion of the nonrefundable upfront $80.0 million payment represents costs for SKB105 drug supply that Kelun is obligated to provide to the Company that has not been received as of June 30, 2026, and will be used in future research and development activities. The Company recorded $1.8 million within prepaid expenses and other current assets on its consolidated balance sheet as of June 30, 2026, and will recognize the amounts into research and development expense as the SKB105 drug supply is received from Kelun throughout the remainder of 2026.</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no development milestones had been triggered.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200"/>
        <w:jc w:val="both"/>
        <w:rPr/>
      </w:pP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May 2025, the</w:t>
      </w:r>
      <w:r>
        <w:rPr>
          <w:color w:val="000000"/>
        </w:rPr>
        <w:t xml:space="preserve"> </w:t>
      </w:r>
      <w:r>
        <w:rPr>
          <w:rFonts w:ascii="Times New Roman;serif" w:hAnsi="Times New Roman;serif"/>
          <w:b w:val="false"/>
          <w:color w:val="000000"/>
          <w:sz w:val="20"/>
        </w:rPr>
        <w:t>Company entered into a noncancelable operating sublease agreement with Nano Dimension USA Inc. (“Sublandlord”) whereby the Company sublets approximately 25,000</w:t>
      </w:r>
      <w:r>
        <w:rPr>
          <w:color w:val="000000"/>
          <w:shd w:fill="FFFFFF" w:val="clear"/>
        </w:rPr>
        <w:t xml:space="preserve"> </w:t>
      </w:r>
      <w:r>
        <w:rPr>
          <w:rFonts w:ascii="Times New Roman;serif" w:hAnsi="Times New Roman;serif"/>
          <w:b w:val="false"/>
          <w:color w:val="000000"/>
          <w:sz w:val="20"/>
          <w:shd w:fill="FFFFFF" w:val="clear"/>
        </w:rPr>
        <w:t>square feet of office space located in Waltham, Massachusetts (“Waltham Sublease”)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sublease commencement date was June 1, 2025, with</w:t>
      </w:r>
      <w:r>
        <w:rPr>
          <w:color w:val="000000"/>
        </w:rPr>
        <w:t xml:space="preserve"> </w:t>
      </w:r>
      <w:r>
        <w:rPr>
          <w:rFonts w:ascii="Times New Roman;serif" w:hAnsi="Times New Roman;serif"/>
          <w:b w:val="false"/>
          <w:color w:val="000000"/>
          <w:sz w:val="20"/>
        </w:rPr>
        <w:t xml:space="preserve">an </w:t>
      </w:r>
      <w:r>
        <w:rPr>
          <w:rFonts w:ascii="Times New Roman;serif" w:hAnsi="Times New Roman;serif"/>
          <w:b w:val="false"/>
          <w:color w:val="000000"/>
          <w:sz w:val="20"/>
          <w:shd w:fill="FFFFFF" w:val="clear"/>
        </w:rPr>
        <w:t xml:space="preserve">initial term of </w:t>
      </w:r>
      <w:r>
        <w:rPr>
          <w:rFonts w:ascii="Times New Roman;serif" w:hAnsi="Times New Roman;serif"/>
          <w:b w:val="false"/>
          <w:color w:val="000000"/>
          <w:sz w:val="20"/>
        </w:rPr>
        <w:t>45 months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 Leases with an initial term of 12 months or less are not recorded on the balance sheet; the Company recognizes lease expense for these leases on a straight-line basis over the lease term.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$1.3 million of operating lease ROU assets, short term lease liabilities of $0.5 million and long term lease liability of $1.0 million on its condensed consolidated balance sheets. As of June 30, 2026, the operating lease arrangement had a remaining lease term of 2.7 years and a discount rate of 10.6%.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remaining operating lease payments included in the measurement of lease liabilities was as follows (in thousands):</w:t>
      </w:r>
    </w:p>
    <w:tbl>
      <w:tblPr>
        <w:tblW w:w="4851" w:type="dxa"/>
        <w:jc w:val="center"/>
        <w:tblInd w:w="0" w:type="dxa"/>
        <w:tblLayout w:type="fixed"/>
        <w:tblCellMar>
          <w:top w:w="28" w:type="dxa"/>
          <w:left w:w="28" w:type="dxa"/>
          <w:bottom w:w="28" w:type="dxa"/>
          <w:right w:w="28" w:type="dxa"/>
        </w:tblCellMar>
      </w:tblPr>
      <w:tblGrid>
        <w:gridCol w:w="1399"/>
        <w:gridCol w:w="1234"/>
        <w:gridCol w:w="1237"/>
        <w:gridCol w:w="211"/>
        <w:gridCol w:w="61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 ended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operating lease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pre-tax basis. Matching contributions to the 401(k) Plan may be made at the discretion of management. For the three and six months ended June 30, 2026 and June 30, 2025, the Company has not recorded any expense related to 401(k) Plan match contributions.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or other litigation relating to claims arising in the ordinary course of business. The Company accrues a liability for such matters when it is probable that future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expenditures will be made and that such expenditures can be reasonably estimated. Significant judgment is required to determine both probability and estimated exposure amount. Legal fees and other costs associated with such proceedings are expensed as incurred. As of June 30, 2026, the Company was not a party to any material legal proceedings or claims.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Cell Line License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CR-001 and CR-002 programs.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consideration for the license, the Company agreed to pay WuXi Biologics a non-refundable license fee of $150,000, which was recognized as a research and development expense during the period from September 19,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14.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ordinary shareholders was calculated as follows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409"/>
        <w:gridCol w:w="297"/>
        <w:gridCol w:w="298"/>
        <w:gridCol w:w="213"/>
        <w:gridCol w:w="747"/>
        <w:gridCol w:w="110"/>
        <w:gridCol w:w="109"/>
        <w:gridCol w:w="109"/>
        <w:gridCol w:w="109"/>
        <w:gridCol w:w="717"/>
        <w:gridCol w:w="409"/>
        <w:gridCol w:w="410"/>
        <w:gridCol w:w="109"/>
        <w:gridCol w:w="109"/>
        <w:gridCol w:w="109"/>
        <w:gridCol w:w="224"/>
        <w:gridCol w:w="790"/>
        <w:gridCol w:w="116"/>
        <w:gridCol w:w="109"/>
        <w:gridCol w:w="109"/>
        <w:gridCol w:w="109"/>
        <w:gridCol w:w="213"/>
        <w:gridCol w:w="747"/>
        <w:gridCol w:w="110"/>
        <w:gridCol w:w="109"/>
        <w:gridCol w:w="109"/>
        <w:gridCol w:w="109"/>
        <w:gridCol w:w="616"/>
        <w:gridCol w:w="409"/>
        <w:gridCol w:w="410"/>
        <w:gridCol w:w="109"/>
        <w:gridCol w:w="109"/>
        <w:gridCol w:w="109"/>
        <w:gridCol w:w="221"/>
        <w:gridCol w:w="936"/>
        <w:gridCol w:w="168"/>
      </w:tblGrid>
      <w:tr>
        <w:trPr/>
        <w:tc>
          <w:tcPr>
            <w:tcW w:w="4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30,532,234 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3,856,925 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Company Series A Preferred Shares </w:t>
            </w:r>
            <w:r>
              <w:rPr>
                <w:rFonts w:ascii="Times New Roman;serif" w:hAnsi="Times New Roman;serif"/>
                <w:b w:val="false"/>
                <w:color w:val="000000"/>
                <w:sz w:val="13"/>
              </w:rPr>
              <w:t>(1)</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0"/>
        <w:gridCol w:w="279"/>
        <w:gridCol w:w="280"/>
        <w:gridCol w:w="211"/>
        <w:gridCol w:w="740"/>
        <w:gridCol w:w="109"/>
        <w:gridCol w:w="109"/>
        <w:gridCol w:w="109"/>
        <w:gridCol w:w="109"/>
        <w:gridCol w:w="707"/>
        <w:gridCol w:w="391"/>
        <w:gridCol w:w="392"/>
        <w:gridCol w:w="109"/>
        <w:gridCol w:w="109"/>
        <w:gridCol w:w="109"/>
        <w:gridCol w:w="215"/>
        <w:gridCol w:w="906"/>
        <w:gridCol w:w="111"/>
        <w:gridCol w:w="109"/>
        <w:gridCol w:w="109"/>
        <w:gridCol w:w="109"/>
        <w:gridCol w:w="211"/>
        <w:gridCol w:w="740"/>
        <w:gridCol w:w="109"/>
        <w:gridCol w:w="109"/>
        <w:gridCol w:w="109"/>
        <w:gridCol w:w="109"/>
        <w:gridCol w:w="604"/>
        <w:gridCol w:w="391"/>
        <w:gridCol w:w="392"/>
        <w:gridCol w:w="109"/>
        <w:gridCol w:w="109"/>
        <w:gridCol w:w="109"/>
        <w:gridCol w:w="214"/>
        <w:gridCol w:w="1010"/>
        <w:gridCol w:w="168"/>
      </w:tblGrid>
      <w:tr>
        <w:trPr/>
        <w:tc>
          <w:tcPr>
            <w:tcW w:w="3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 Per Share, Basic and Diluted</w:t>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30,465,395 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2,331,339 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Company Series A Preferred Shares </w:t>
            </w:r>
            <w:r>
              <w:rPr>
                <w:rFonts w:ascii="Times New Roman;serif" w:hAnsi="Times New Roman;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(14,104.90)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(1) The weighted-average number of shares of as-converted Series A Preferred Shares used in the loss allocation was 2,890,000 for the three and six months ended June 30, 2026 and 565,435 and 285,824 for the three and six months ended June 30, 2025, respectively.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computation of basic net loss per share attributable to ordinary shareholders, the amount of weighted-average ordinary shares outstanding excludes all shares of unvested restricted stock and early-exercised stock options as such shares are not considered outstanding for accounting purposes until vested. The amount of weighted-average shares outstanding includes the pre-funded warrants as the exercise price is negligible and these warrants are fully vested and exercisable. The potential ordinary shares that were excluded from the computation of diluted net loss per share attributable to ordinary shareholders for the periods presented because including them would have had an anti-dilutive effect were as follows:</w:t>
      </w:r>
    </w:p>
    <w:tbl>
      <w:tblPr>
        <w:tblW w:w="10205" w:type="dxa"/>
        <w:jc w:val="center"/>
        <w:tblInd w:w="0" w:type="dxa"/>
        <w:tblLayout w:type="fixed"/>
        <w:tblCellMar>
          <w:top w:w="28" w:type="dxa"/>
          <w:left w:w="28" w:type="dxa"/>
          <w:bottom w:w="28" w:type="dxa"/>
          <w:right w:w="28" w:type="dxa"/>
        </w:tblCellMar>
      </w:tblPr>
      <w:tblGrid>
        <w:gridCol w:w="922"/>
        <w:gridCol w:w="809"/>
        <w:gridCol w:w="813"/>
        <w:gridCol w:w="533"/>
        <w:gridCol w:w="437"/>
        <w:gridCol w:w="439"/>
        <w:gridCol w:w="109"/>
        <w:gridCol w:w="109"/>
        <w:gridCol w:w="109"/>
        <w:gridCol w:w="492"/>
        <w:gridCol w:w="397"/>
        <w:gridCol w:w="398"/>
        <w:gridCol w:w="109"/>
        <w:gridCol w:w="109"/>
        <w:gridCol w:w="109"/>
        <w:gridCol w:w="739"/>
        <w:gridCol w:w="643"/>
        <w:gridCol w:w="646"/>
        <w:gridCol w:w="109"/>
        <w:gridCol w:w="109"/>
        <w:gridCol w:w="109"/>
        <w:gridCol w:w="637"/>
        <w:gridCol w:w="541"/>
        <w:gridCol w:w="778"/>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restricted stock units</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438,386</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restricted stock awards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118,864</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issued common stock options</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3,748,798</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4,306,048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Paragon and Parascent each beneficially own less than 5% of the Company’s share capital through their respective holdings of the Company’s ordinary shares. Fairmount beneficially owns more than 5% of the Company’s capital, currently has two representatives appointed to the Board and beneficially owns more than 5% of Paragon. Fairmount appointed Paragon’s board of directors and has the contractual right to approve the appointment of any executive officers of Paragon. The Company determined Paragon and Parascent were related parties based on the nature of these relationships.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related party accounts payable and other current liabilities (in thousands):</w:t>
      </w:r>
    </w:p>
    <w:tbl>
      <w:tblPr>
        <w:tblW w:w="7959" w:type="dxa"/>
        <w:jc w:val="center"/>
        <w:tblInd w:w="0" w:type="dxa"/>
        <w:tblLayout w:type="fixed"/>
        <w:tblCellMar>
          <w:top w:w="28" w:type="dxa"/>
          <w:left w:w="28" w:type="dxa"/>
          <w:bottom w:w="28" w:type="dxa"/>
          <w:right w:w="28" w:type="dxa"/>
        </w:tblCellMar>
      </w:tblPr>
      <w:tblGrid>
        <w:gridCol w:w="1327"/>
        <w:gridCol w:w="1163"/>
        <w:gridCol w:w="1169"/>
        <w:gridCol w:w="505"/>
        <w:gridCol w:w="973"/>
        <w:gridCol w:w="261"/>
        <w:gridCol w:w="109"/>
        <w:gridCol w:w="109"/>
        <w:gridCol w:w="109"/>
        <w:gridCol w:w="566"/>
        <w:gridCol w:w="1253"/>
        <w:gridCol w:w="415"/>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Paragon accrued research and development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Paragon accrued general and administrative</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16. Asset Sale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 entered into an asset purchase agreement for its GMI-1687 and GMI-1271 technology, including intellectual property, which had been acquired as part of the reverse merger and was not in active development, for cash consideration of $1.8 million. Additional contingent consideration is included in the asset purchase agreement and is dependent on future development, regulatory, and sales milestones. The Company recorded the cash consideration of $1.8 million as a gain on sale of a nonfinancial asset under ASC 610-20. As there was no recorded value for the assets sold, $1.8 million was recognized as other income during the three and six months ended June 30, 2026 within the condensed consolidated statement of operations and comprehensive loss. The Company has fully constrained the variable consideration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relating to the research and development of its research programs, CR-001, CR-002, and CR-003. The Company’s CODM, its Chief Executive Officer, manages the Company’s operations on a company-wide basis for the allocation of resources and the assessment of performance. The Company’s measure of segment profit or loss used to assess performance and allocate resources is net loss and comprehensive loss. Although the Company’s financial reporting package that is reviewed and approved by the CODM disaggregates significant expenses such as program-level external research and development costs, personnel costs, including share-based compensation expense, and professional and consulting fees, all decisions made by the CODM are based upon reviewing operating metrics and performance indications at the Company-wide level. The CODM uses net loss to evaluate loss generated from the Company’s business activities in deciding how to allocate company resources and monitoring budget versus actual results. Assets are also managed on a Company-wide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loss, including significant segment expenses (in thousands):</w:t>
      </w:r>
    </w:p>
    <w:tbl>
      <w:tblPr>
        <w:tblW w:w="10205" w:type="dxa"/>
        <w:jc w:val="center"/>
        <w:tblInd w:w="0" w:type="dxa"/>
        <w:tblLayout w:type="fixed"/>
        <w:tblCellMar>
          <w:top w:w="28" w:type="dxa"/>
          <w:left w:w="28" w:type="dxa"/>
          <w:bottom w:w="28" w:type="dxa"/>
          <w:right w:w="28" w:type="dxa"/>
        </w:tblCellMar>
      </w:tblPr>
      <w:tblGrid>
        <w:gridCol w:w="1083"/>
        <w:gridCol w:w="850"/>
        <w:gridCol w:w="752"/>
        <w:gridCol w:w="273"/>
        <w:gridCol w:w="997"/>
        <w:gridCol w:w="141"/>
        <w:gridCol w:w="109"/>
        <w:gridCol w:w="109"/>
        <w:gridCol w:w="109"/>
        <w:gridCol w:w="253"/>
        <w:gridCol w:w="922"/>
        <w:gridCol w:w="130"/>
        <w:gridCol w:w="109"/>
        <w:gridCol w:w="109"/>
        <w:gridCol w:w="109"/>
        <w:gridCol w:w="373"/>
        <w:gridCol w:w="1373"/>
        <w:gridCol w:w="192"/>
        <w:gridCol w:w="109"/>
        <w:gridCol w:w="109"/>
        <w:gridCol w:w="109"/>
        <w:gridCol w:w="347"/>
        <w:gridCol w:w="1278"/>
        <w:gridCol w:w="260"/>
      </w:tblGrid>
      <w:tr>
        <w:trPr/>
        <w:tc>
          <w:tcPr>
            <w:tcW w:w="10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CR-001 external research and development costs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CR-002 external research and development costs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Discovery external research and development costs</w:t>
            </w:r>
            <w:r>
              <w:rPr>
                <w:rFonts w:ascii="Times New Roman;serif" w:hAnsi="Times New Roman;serif"/>
                <w:b w:val="false"/>
                <w:color w:val="000000"/>
                <w:sz w:val="13"/>
              </w:rPr>
              <w:t>(1)</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Milestone and license fees</w:t>
            </w:r>
            <w:r>
              <w:rPr>
                <w:rFonts w:ascii="Times New Roman;serif" w:hAnsi="Times New Roman;serif"/>
                <w:b w:val="false"/>
                <w:color w:val="000000"/>
                <w:sz w:val="13"/>
              </w:rPr>
              <w:t>(2)</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and other fees</w:t>
            </w:r>
            <w:r>
              <w:rPr>
                <w:rFonts w:ascii="Times New Roman;serif" w:hAnsi="Times New Roman;serif"/>
                <w:b w:val="false"/>
                <w:color w:val="000000"/>
                <w:sz w:val="13"/>
              </w:rPr>
              <w:t>(3)</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(1)Discovery external research and discovery costs include costs associated with CR-003 and other candidate discovery activities.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(2)Milestone and license fees include a $2.5 million payment to Paragon related to the first dosing of a human patient in a Phase 1 trial for CR-001 per the CR-001 License Agreement.</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(3)Professional and other fees includes professional fees, consulting fees, office and facilities expense, and miscellaneous other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all of the Company’s revenues were earned from a license agreement with a single customer located in China. As of June 30, 2026,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evaluated events and transactions occurring subsequent to June 30, 2026 through the date at which the financial statements were issued.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Company entered into an open market sale agreement (the “Sales Agreement”) with Jefferies LLC (“Jefferies”), as sales agent, pursuant to which the Company may offer and sell from time to time up to an aggregate of $200.0 million of the Company’s ordinary shares through an “at-the-market” equity offering program (the “ATM Program”). Sales of the Company’s ordinary shares under the ATM Program will be made pursuant to a Registration Statement on Form S-3 as supplemented by a prospectus supplement. The Company has agreed to pay Jefferies a commission of up to 3.0% of the gross proceeds of the Company’s ordinary shares sold under the Sales Agreement. To date, the Company has not sold any shares under the ATM Program.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underwriting agreement (the “Underwriting Agreement”) with Jefferies LLC and TD Securities (USA) LLC, as representatives of the several underwriters named therein (collectively, the “Underwriters”), relating to the issuance and sale of (i) 9,387,896 of the Company’s ordinary shares (the “Shares”), including the exercise in full by the Underwriters of their option to purchase 1,293,103 ordinary shares, at an offering price to the public of $14.50 per share, and (ii) with respect to certain investors, pre-funded warrants to purchase an aggregate of 525,897 ordinary shares at a price of $14.499 per pre-funded warrant (the “Pre-Funded Warrants”), which represents the per share price for the Shares less a nominal $0.001 per share exercise price for each Pre-Funded Warrant. The net proceeds to the Company from this offering, including the full option exercise, was approximately $133.5 million, after deducting underwriting discounts and commissions and other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30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unaudited condensed consolidated financial statements and the related notes included in Part 1 - Item 1 of this Quarterly Report on Form 10-Q for the quarterly period ended June 30, 2026 (this “Quarterly Report”). The following discussion contains forward-looking statements that reflect our current plans, estimates and beliefs and words such as “may,” “might,” “will,” “would,” “shall,” “objective,” “intend,” “target,” “should,” “could,” “can,” “expect,” “anticipate,” “believe,” “design,” “estimate,” “forecast,” “predict,” “potential,” “plan,” “seek,” or “continue” and variations of such words and any statements that refer to projections, forecasts, or other characterizations of future events or circumstances, including any underlying assumptions, and similar expressions are intended to identify forward-looking statements. Our historical results are not necessarily indicative of the results that may be expected for any period in the future. Our actual results and the timing of events could differ materially from those discussed in these forward-looking statements. Factors that could cause or contribute to these differences include those discussed in Part II, Item 1A,“Risk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“Crescent Biopharma, Inc.,” “Crescent,” “GlycoMimetics, Inc.,” “GlycoMimetics,” refers to Crescent Biopharma, Inc. and its consolidated subsidiaries, including Crescent Biopharma Operating Company LLC,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(also known as SKB118), which we refer to as a PD-1 x VEGF bispecific antibody because it is designed to bind both the PD-1 immune checkpoint (“PD-1”) and Vascular Endothelial Growth Factor (“VEGF”),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In the first quarter of 2026, we initiated a global Phase 1/2 trial of CR-001 (the “ASCEND trial”) and, through our partner Sichuan Kelun-Biotech Biopharmaceutical Co., Ltd. (“Kelun”), a Phase 1/2 trial of CR-003 (also known as SKB105) as a monotherapy in China. Additionally, Kelun recently initiated a Phase 2 clinical study in China of its trophoblast cell-surface antigen 2 (TROP2)-directed ADC sacituzumab tirumotecan (“sac-TMT”) in combination with CR-001 to evaluate the safety, tolerability, and efficacy of patients with non-small cell lung cancer (“NSCLC”), with initial data anticipated in mid-2027 (second or third quarter). We also anticipate initiation of a CR-002 monotherapy clinical trial in the second half of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initiated ASCEND, a global Phase 1/2 trial of CR-001 in up to eight solid tumor types in the first quarter of 2026. We believe that, because CR-001 incorporates the functional properties of ivonescimab, early clinical data from ivonescimab can serve as important validation of potential effectiveness and tolerability of both ivonescimab and CR-001, thereby allowing us to move quickly into late-stage development with a level of speed and confidence that would not exist if CR-001 did not incorporate the PD-1 and VEGF binding affinity, potency, and cooperative pharmacology of ivonescimab. In the first quarter of 2027, we anticipate sharing meaningful data on CR-001’s clinical profile, including initial safety, pharmacokinetics (“PK”) and early anti-tumor activity from dose escalation and backfill cohorts in first-line and previously treated patients. A backfill cohort of first-line NSCLC patients is planned as part of this readout. In mid-2027 (second or third quarter), we plan to share initial standard of care chemotherapy combination data.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CR-002 is a PD-L1-directed ADC designed to deliver a topoisomerase toxin to cancer cells that express PD-L1, a cell surface protein that suppresses T-cell activation. PD-L1 expression is elevated in numerous solid tumors compared to normal tissues, making it an attractive ADC target. We intend to initiate a Phase 1/2 trial of CR-002 in the second half of 2026.</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announced a partnership with Kelun, a leading Chinese biotech company with commercially approved ADCs, to acquire exclusive rights to SKB105, an integrin beta-6 (“ITGB6”) directed ADC, outside of mainland China, Hong Kong, Macau, and Taiwan (collectively, “Greater China”). We intend to develop SKB105 as CR-003, a product designation which previously referred to a preclinical ADC asset under the Amended and Restated ADC Discovery and Option Agreement, dated April 28, 2025 (the “ADC Paragon Option Agreement”). ITGB6 is a target with emerging clinical data generated by third party ADCs. We believe that CR-003 has the potential to deliver potent antitumor activity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based on its improved potency and half-life in preclinical models. A Phase 1/2 trial of CR-003 was initiated in the first quarter of 2026 in China. We believe that CR-002 and CR-003 have the potential to provide therapeutic benefit both when used as monotherapies and in combination with CR-001. </w:t>
      </w:r>
    </w:p>
    <w:p>
      <w:pPr>
        <w:pStyle w:val="TextBody"/>
        <w:bidi w:val="0"/>
        <w:spacing w:lineRule="auto" w:line="288" w:before="0" w:after="200"/>
        <w:jc w:val="both"/>
        <w:rPr/>
      </w:pPr>
      <w:r>
        <w:rPr>
          <w:rFonts w:ascii="Times New Roman;serif" w:hAnsi="Times New Roman;serif"/>
          <w:b w:val="false"/>
          <w:color w:val="000000"/>
          <w:sz w:val="20"/>
        </w:rPr>
        <w:t>Since our inception in September 2024, we have devoted substantially all of our resources to raising capital, organizing and staffing the Company, business and scientific planning, conducting discovery and research activities, establishing arrangements with third parties, and providing general and administrative support for these operations. We do not have any products approved for sale and have not generated any revenue from product sales. To date, we have funded our operations primarily with proceeds from the reverse recapitalization and merger with GlycoMimetics, Inc., our Pre-Closing Financing, our Private Placement, and our July 2026 Offering (as defined and further described in “</w:t>
      </w:r>
      <w:r>
        <w:rPr>
          <w:rFonts w:ascii="Times New Roman;serif" w:hAnsi="Times New Roman;serif"/>
          <w:b w:val="false"/>
          <w:i/>
          <w:color w:val="000000"/>
          <w:sz w:val="20"/>
        </w:rPr>
        <w:t>Recent Developments”</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incurred operating losses since inception. Our ability to generate product revenue sufficient to achieve profitability will depend heavily on the successful development and eventual commercialization of any programs we may develop. We incurred a net loss of $24.8 million and $48.1 million for the three and six months ended June 30, 2026. As of June 30, 2026, we had an accumulated deficit of $219.9 million. For the six months ended June 30, 2026, we have used net cash of $28.4 million for our operating activities.</w:t>
      </w:r>
    </w:p>
    <w:p>
      <w:pPr>
        <w:pStyle w:val="TextBody"/>
        <w:bidi w:val="0"/>
        <w:spacing w:lineRule="auto" w:line="288" w:before="0" w:after="3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$171.6 million. We expect that our existing cash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At-The-Market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 2026, we entered into an open market sale agreement (the “Sales Agreement”) with Jefferies LLC (“Jefferies”), as sales agent, pursuant to which we may offer and sell from time to time up to an aggregate of $200.0 million of our ordinary shares through an “at-the-market” equity offering program (the “ATM Program”). Sales of our ordinary shares under the ATM Program will be made pursuant to a Registration Statement on Form S-3 as supplemented by a prospectus supplement. We have agreed to pay Jefferies a commission of up to 3.0% of the gross proceeds of our ordinary shares sold under the Sales Agreement. To date, we have not sold any shares under the ATM Program.</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14, 2026, we entered into an underwriting agreement (the “Underwriting Agreement”) with Jefferies LLC and TD Securities (USA) LLC, as representatives of the several underwriters named therein (collectively, the “Underwriters”), relating to the issuance and sale of (i) 9,387,896 of our ordinary shares (the “Shares”), including the exercise in full by the Underwriters of their option to purchase 1,293,103 ordinary shares, at an offering price to the public of $14.50 per share, and (ii) with respect to certain investors, pre-funded warrants to purchase an aggregate of 525,897 ordinary shares at a price of $14.499 per pre-funded warrant (the “Pre-Funded Warrants”), which represents the per share price for the Shares less a nominal $0.001 per share exercise price for each Pre-Funded Warrant (the “July 2026 Offering”). The net proceeds to us from this offering, including the full option exercise, was approximately $133.5 million, after deducting underwriting discounts and commissions and other offering expenses.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Impact of General Economic Risk Factors on Crescent’s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in the global economy presents significant risks to our business. We are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including as a result of bank failures, geopolitical factors, including the ongoing conflicts in Iran and elsewhere in the Middle East and between Russia and Ukraine and the responses thereto, and supply chain disruptions. While we are closely monitoring the impact of the current macroeconomic and geopolitical conditions on all aspects of our business, including the impacts on participants in any future clinical trials, our employees, suppliers, vendors, and business partners and our future access to capital, the ultimate extent of the impact on our business remains highly uncertain and will depend on future developments and factors that continue to evolve. Most of these developments and factors are outside our control and could exist for an extended period of time. We will continue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to evaluate the nature and extent of the potential impacts to our business, results of operations, liquidity and capital resources. For additional information, see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to date have been generated through the Kelun CR-001 License Agreement. We recognize revenue over the expected performance period under the agreement. The terms of this agreement include one or more of the following types of payments: non-refundable license fees, payments based on the achievement of specified milestones, and royalties on any net product sales. To date, we have received a non-refundable upfront payment for the license to CR-001. We expect that our revenue for the next several years will be derived primarily from our current license agreements and any additional licensing agreements that we may enter into in the future.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revenue from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existing or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(i) research and development expenses and (ii) general and administrative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in connection with the research and development of our programs. These expenses include:</w:t>
      </w:r>
    </w:p>
    <w:p>
      <w:pPr>
        <w:pStyle w:val="TextBody"/>
        <w:bidi w:val="0"/>
        <w:spacing w:lineRule="auto" w:line="288" w:before="0" w:after="120"/>
        <w:ind w:left="0" w:right="0" w:hanging="180"/>
        <w:jc w:val="both"/>
        <w:rPr/>
      </w:pPr>
      <w:r>
        <w:rPr>
          <w:color w:val="000000"/>
        </w:rPr>
        <w:t>•</w:t>
      </w:r>
      <w:r>
        <w:rPr>
          <w:rFonts w:ascii="Times New Roman;serif" w:hAnsi="Times New Roman;serif"/>
          <w:b w:val="false"/>
          <w:color w:val="000000"/>
          <w:sz w:val="20"/>
        </w:rPr>
        <w:t>costs of funding research performed by third parties, including Paragon, that conduct research and development activities on our behalf and services rendered under the related Paragon option and license agreements for CR-001, CR-002, CR-003, and other discovery candidates;</w:t>
      </w:r>
    </w:p>
    <w:p>
      <w:pPr>
        <w:pStyle w:val="TextBody"/>
        <w:bidi w:val="0"/>
        <w:spacing w:lineRule="auto" w:line="288" w:before="0" w:after="120"/>
        <w:ind w:left="0" w:right="0" w:hanging="180"/>
        <w:jc w:val="both"/>
        <w:rPr/>
      </w:pPr>
      <w:r>
        <w:rPr>
          <w:color w:val="000000"/>
        </w:rPr>
        <w:t>•</w:t>
      </w:r>
      <w:r>
        <w:rPr>
          <w:rFonts w:ascii="Times New Roman;serif" w:hAnsi="Times New Roman;serif"/>
          <w:b w:val="false"/>
          <w:color w:val="000000"/>
          <w:sz w:val="20"/>
        </w:rPr>
        <w:t>expenses incurred in connection with continuing our current research programs and discovery-phase development of any programs we may identify, including under future agreements with third parties, such as consultants and contractors; and</w:t>
      </w:r>
    </w:p>
    <w:p>
      <w:pPr>
        <w:pStyle w:val="TextBody"/>
        <w:bidi w:val="0"/>
        <w:spacing w:lineRule="auto" w:line="288" w:before="0" w:after="200"/>
        <w:ind w:left="0" w:right="0" w:hanging="180"/>
        <w:jc w:val="both"/>
        <w:rPr/>
      </w:pPr>
      <w:r>
        <w:rPr>
          <w:color w:val="000000"/>
        </w:rPr>
        <w:t>•</w:t>
      </w:r>
      <w:r>
        <w:rPr>
          <w:rFonts w:ascii="Times New Roman;serif" w:hAnsi="Times New Roman;serif"/>
          <w:b w:val="false"/>
          <w:color w:val="000000"/>
          <w:sz w:val="20"/>
        </w:rPr>
        <w:t>personnel-related expenses, including recruiting costs, salaries, bonuses, benefits, and equity-based compensation expense.</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We expense research and development costs as incurred. Research and development expenses recorded in connection with services provided by Paragon under (i) </w:t>
      </w:r>
      <w:r>
        <w:rPr>
          <w:rFonts w:ascii="Times New Roman;serif" w:hAnsi="Times New Roman;serif"/>
          <w:b w:val="false"/>
          <w:color w:val="000000"/>
          <w:sz w:val="20"/>
        </w:rPr>
        <w:t>the Antibody Discovery and Option Agreement, dated September 19, 2024 (the “Antibody Paragon Option Agreement”) and the ADC Paragon Option Agreement (together with the Antibody Paragon Option Agreement, the “Paragon Option Agreements”),</w:t>
      </w:r>
      <w:r>
        <w:rPr>
          <w:color w:val="000000"/>
          <w:shd w:fill="FFFFFF" w:val="clear"/>
        </w:rPr>
        <w:t xml:space="preserve"> </w:t>
      </w:r>
      <w:r>
        <w:rPr>
          <w:rFonts w:ascii="Times New Roman;serif" w:hAnsi="Times New Roman;serif"/>
          <w:b w:val="false"/>
          <w:color w:val="000000"/>
          <w:sz w:val="20"/>
          <w:shd w:fill="FFFFFF" w:val="clear"/>
        </w:rPr>
        <w:t xml:space="preserve">and (ii) the CR-001 </w:t>
      </w:r>
      <w:r>
        <w:rPr>
          <w:rFonts w:ascii="Times New Roman;serif" w:hAnsi="Times New Roman;serif"/>
          <w:b w:val="false"/>
          <w:color w:val="000000"/>
          <w:sz w:val="20"/>
        </w:rPr>
        <w:t xml:space="preserve">License Agreement with Paragon, dated April 28, 2025, as amended on December 2, 2025, and CR-002 License Agreement with Paragon, dated November 5, 2025, </w:t>
      </w:r>
      <w:r>
        <w:rPr>
          <w:rFonts w:ascii="Times New Roman;serif" w:hAnsi="Times New Roman;serif"/>
          <w:b w:val="false"/>
          <w:color w:val="000000"/>
          <w:sz w:val="20"/>
          <w:shd w:fill="FFFFFF" w:val="clear"/>
        </w:rPr>
        <w:t xml:space="preserve">in our condensed consolidated statement of operations and comprehensive loss for the three and six months ended June 30, 2026, was nil and </w:t>
      </w:r>
      <w:r>
        <w:rPr>
          <w:rFonts w:ascii="Times New Roman;serif" w:hAnsi="Times New Roman;serif"/>
          <w:b w:val="false"/>
          <w:color w:val="000000"/>
          <w:sz w:val="20"/>
        </w:rPr>
        <w:t>$2.5 million</w:t>
      </w:r>
      <w:r>
        <w:rPr>
          <w:rFonts w:ascii="Times New Roman;serif" w:hAnsi="Times New Roman;serif"/>
          <w:b w:val="false"/>
          <w:color w:val="000000"/>
          <w:sz w:val="20"/>
          <w:shd w:fill="FFFFFF" w:val="clear"/>
        </w:rPr>
        <w:t xml:space="preserve">, respectively, and </w:t>
      </w:r>
      <w:r>
        <w:rPr>
          <w:rFonts w:ascii="Times New Roman;serif" w:hAnsi="Times New Roman;serif"/>
          <w:b w:val="false"/>
          <w:color w:val="000000"/>
          <w:sz w:val="20"/>
        </w:rPr>
        <w:t>$5.0 million and $13.0 million for the</w:t>
      </w:r>
      <w:r>
        <w:rPr>
          <w:color w:val="000000"/>
          <w:shd w:fill="FFFFFF" w:val="clear"/>
        </w:rPr>
        <w:t xml:space="preserve"> </w:t>
      </w:r>
      <w:r>
        <w:rPr>
          <w:rFonts w:ascii="Times New Roman;serif" w:hAnsi="Times New Roman;serif"/>
          <w:b w:val="false"/>
          <w:color w:val="000000"/>
          <w:sz w:val="20"/>
          <w:shd w:fill="FFFFFF" w:val="clear"/>
        </w:rPr>
        <w:t xml:space="preserve">three and six month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respectively.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 </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timely and successful completion of preclinical studies;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submission and maintenance of Investigational New Drug application (“IND”) or comparable foreign applications that allow commencement of our planned clinical trials or future clinical trials for any programs we may develop;</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successful enrollment and completion of clinical trials;</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positive results from our future clinical trials that support a finding of safety, purity, potency and/or effectiveness, acceptable pharmacokinetics profile, and an acceptable risk-benefit profile in the intended populations;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receipt of marketing approvals from applicable regulatory authorities;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establishment of arrangements through our own facilities or with third-party manufacturers for clinical supply and, where applicable, commercial manufacturing capabilities; and</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maintenance of a continued acceptable safety, tolerability, and efficacy profile of any programs we may develop following approval.</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expenses, including recruiting costs, salaries, bonuses, benefits, and equity-based compensation, for individuals in our executive, finance, legal, operations,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substantially for the foreseeable future as we 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U.S. Securities and Exchange Commission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(expense) includes interest income of $1.5 million and $3.0 million, and $0.3 million and $0.5 million earned for the three and six months ended June 30, 2026 and June 30, 2025, respectively, relating to our money market account. Other income (expense) includes $1.8 million and $1.8 million, and nil and nil of other income related to the sale of legacy GlycoMimetics intellectual property assets for the three and six months ended June 30, 2026 and June 30, 2025, respectively. Also included in other income (expense) is nil and nil, and $1.1 million and $2.2 million, of interest expense incurred for the three and six months ended June 30, 2026 and June 30, 2025, respectively, relating to our previously outstanding convertible notes with an initial principal amount of $37.5 million (“Convertible Notes”) issued to various investors in October 2024, which converted to common stock (now, ordinary shares) and pre-funded warrants upon the close of the Merger.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provision for income taxes was recorded for the three and six months ended June 30, 2026 and June 30, 2025. We recorded a full valuation allowance against our net deferred tax assets as of the balance sheet date, as we believe it is not more likely than not that the benefit will be realized due to our cumulative losses generated to date and expectation of future losses.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tax provisions. We have evaluated the OBBBA provisions and estimated their impact on the consolidated financial statements to be immaterial. We will continue to evaluate the full impact of these legislative changes as additional guidance becomes available.</w:t>
      </w:r>
    </w:p>
    <w:p>
      <w:pPr>
        <w:pStyle w:val="TextBody"/>
        <w:bidi w:val="0"/>
        <w:spacing w:before="0" w:after="200"/>
        <w:jc w:val="left"/>
        <w:rPr/>
      </w:pPr>
      <w:r>
        <w:rPr/>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Compared to the Three Months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 of operations and comprehensive loss for the periods presented (in thousands):</w:t>
      </w:r>
    </w:p>
    <w:tbl>
      <w:tblPr>
        <w:tblW w:w="10205" w:type="dxa"/>
        <w:jc w:val="center"/>
        <w:tblInd w:w="0" w:type="dxa"/>
        <w:tblLayout w:type="fixed"/>
        <w:tblCellMar>
          <w:top w:w="28" w:type="dxa"/>
          <w:left w:w="28" w:type="dxa"/>
          <w:bottom w:w="28" w:type="dxa"/>
          <w:right w:w="28" w:type="dxa"/>
        </w:tblCellMar>
      </w:tblPr>
      <w:tblGrid>
        <w:gridCol w:w="973"/>
        <w:gridCol w:w="830"/>
        <w:gridCol w:w="832"/>
        <w:gridCol w:w="555"/>
        <w:gridCol w:w="2090"/>
        <w:gridCol w:w="286"/>
        <w:gridCol w:w="109"/>
        <w:gridCol w:w="109"/>
        <w:gridCol w:w="109"/>
        <w:gridCol w:w="555"/>
        <w:gridCol w:w="2090"/>
        <w:gridCol w:w="286"/>
        <w:gridCol w:w="109"/>
        <w:gridCol w:w="109"/>
        <w:gridCol w:w="109"/>
        <w:gridCol w:w="211"/>
        <w:gridCol w:w="686"/>
        <w:gridCol w:w="157"/>
      </w:tblGrid>
      <w:tr>
        <w:trPr/>
        <w:tc>
          <w:tcPr>
            <w:tcW w:w="97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(21,790)</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$6,292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$164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$420 for the three months ended June 30, 2026 and June 30, 2025, respectively.</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License Agreement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was no revenue recognized during the three months ended June 30, 2026 and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incurred for the periods presented (in thousands):</w:t>
      </w:r>
    </w:p>
    <w:tbl>
      <w:tblPr>
        <w:tblW w:w="10205" w:type="dxa"/>
        <w:jc w:val="center"/>
        <w:tblInd w:w="0" w:type="dxa"/>
        <w:tblLayout w:type="fixed"/>
        <w:tblCellMar>
          <w:top w:w="28" w:type="dxa"/>
          <w:left w:w="28" w:type="dxa"/>
          <w:bottom w:w="28" w:type="dxa"/>
          <w:right w:w="28" w:type="dxa"/>
        </w:tblCellMar>
      </w:tblPr>
      <w:tblGrid>
        <w:gridCol w:w="1429"/>
        <w:gridCol w:w="1153"/>
        <w:gridCol w:w="1159"/>
        <w:gridCol w:w="489"/>
        <w:gridCol w:w="1672"/>
        <w:gridCol w:w="252"/>
        <w:gridCol w:w="109"/>
        <w:gridCol w:w="109"/>
        <w:gridCol w:w="109"/>
        <w:gridCol w:w="489"/>
        <w:gridCol w:w="1672"/>
        <w:gridCol w:w="252"/>
        <w:gridCol w:w="109"/>
        <w:gridCol w:w="109"/>
        <w:gridCol w:w="109"/>
        <w:gridCol w:w="211"/>
        <w:gridCol w:w="616"/>
        <w:gridCol w:w="157"/>
      </w:tblGrid>
      <w:tr>
        <w:trPr/>
        <w:tc>
          <w:tcPr>
            <w:tcW w:w="142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costs:</w:t>
            </w:r>
          </w:p>
        </w:tc>
        <w:tc>
          <w:tcPr>
            <w:tcW w:w="2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CR-001</w:t>
            </w:r>
            <w:r>
              <w:rPr>
                <w:rFonts w:ascii="Times New Roman;serif" w:hAnsi="Times New Roman;serif"/>
                <w:b w:val="false"/>
                <w:color w:val="000000"/>
                <w:sz w:val="13"/>
              </w:rPr>
              <w:t>(1)</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CR-002</w:t>
            </w:r>
            <w:r>
              <w:rPr>
                <w:rFonts w:ascii="Times New Roman;serif" w:hAnsi="Times New Roman;serif"/>
                <w:b w:val="false"/>
                <w:color w:val="000000"/>
                <w:sz w:val="13"/>
              </w:rPr>
              <w:t>(2)</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CR-003</w:t>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external research and discovery</w:t>
            </w:r>
            <w:r>
              <w:rPr>
                <w:rFonts w:ascii="Times New Roman;serif" w:hAnsi="Times New Roman;serif"/>
                <w:b w:val="false"/>
                <w:color w:val="000000"/>
                <w:sz w:val="13"/>
              </w:rPr>
              <w:t>(3)</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share-based compensation)</w:t>
            </w:r>
            <w:r>
              <w:rPr>
                <w:rFonts w:ascii="Times New Roman;serif" w:hAnsi="Times New Roman;serif"/>
                <w:b w:val="false"/>
                <w:color w:val="000000"/>
                <w:sz w:val="13"/>
              </w:rPr>
              <w:t>(4)</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$657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$3,610 for the three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$751 for the three months ended June 30, 2026 and June 30, 2025, respectively. Former CR-003 activities previously presented under CR-003.</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related party amount of $0 and $1,273 for the three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$7.3 million during the three months ended June 30, 2026 compared to the same period in the prior year as we develop our pipeline and continue to hire resources to support our ongoing and future research and development.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 including CROs, CMOs, and other third-party preclinical studies and clinical trials expenses, increased by $4.3 million, from $8.2 million for the three months ended June 30, 2025 to $12.5 million during the three months June 30, 2026. The increase is primarily related to an increase in CMO development and manufacturing expenses and an increase in our CRO expenses related to ongoing clinical trials and toxicology studies, offset by a decrease in research and development expenses incurred by Paragon subsequent to the termination of the ADC Paragon Option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Personnel-related expenses increased by $2.6 million during the three months ended June 30, 2026 compared to the same period in the prior year as we continue to hire employees to support ongoing and future research and development.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changes in share-based compensation during the three months ended June 30, 2026 compared to the same period in the prior 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compared to the same period in the prior year, office, facilities, and software expense increased by $0.3 million and professional and consulting fees increased by $0.1 million, both as a result of continuing support of our pipeline, as well as the commencement of our leased Waltham office beginning in May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general and administrative expenses for the periods presented (in thousands):</w:t>
      </w:r>
    </w:p>
    <w:tbl>
      <w:tblPr>
        <w:tblW w:w="10205" w:type="dxa"/>
        <w:jc w:val="center"/>
        <w:tblInd w:w="0" w:type="dxa"/>
        <w:tblLayout w:type="fixed"/>
        <w:tblCellMar>
          <w:top w:w="28" w:type="dxa"/>
          <w:left w:w="28" w:type="dxa"/>
          <w:bottom w:w="28" w:type="dxa"/>
          <w:right w:w="28" w:type="dxa"/>
        </w:tblCellMar>
      </w:tblPr>
      <w:tblGrid>
        <w:gridCol w:w="1348"/>
        <w:gridCol w:w="1183"/>
        <w:gridCol w:w="1188"/>
        <w:gridCol w:w="549"/>
        <w:gridCol w:w="1606"/>
        <w:gridCol w:w="283"/>
        <w:gridCol w:w="109"/>
        <w:gridCol w:w="109"/>
        <w:gridCol w:w="109"/>
        <w:gridCol w:w="549"/>
        <w:gridCol w:w="1606"/>
        <w:gridCol w:w="283"/>
        <w:gridCol w:w="109"/>
        <w:gridCol w:w="109"/>
        <w:gridCol w:w="109"/>
        <w:gridCol w:w="235"/>
        <w:gridCol w:w="539"/>
        <w:gridCol w:w="182"/>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Legal fees related to our intellectual property</w:t>
            </w:r>
            <w:r>
              <w:rPr>
                <w:rFonts w:ascii="Times New Roman;serif" w:hAnsi="Times New Roman;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$164 for the three months ended June 30, 2026 and June 30, 2025,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$0.2 million during the three months ended June 30, 2026 compared to the same period in the prior year. Personnel-related expenses decreased by $0.7 million during the three months ended June 30, 2026 compared to the same period in the prior year, primarily as a result of a decrease in share based compensation by $1.4 million during three months ended June 30, 2026 compared to the same period in the prior year due to award forfeitures during the prior year. The decrease in share based compensation was offset by an increases in other compensation costs during three months ended June 30, 2026 compared to the same period in the prior year by $0.7 million due to our continued hiring of executives and administrative employees.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and consulting fees decreased by $0.4 million during the three months ended June 30, 2026 compared to the same period in the prior year due to our continued hiring of workforce employees and an accordingly lower reliance on external consultants. Office, facilities, and software increased by $0.7 million, primarily as a result of the commencement of our leased Waltham office beginning in May 2025.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income for the periods presented (in thousands):</w:t>
      </w:r>
    </w:p>
    <w:tbl>
      <w:tblPr>
        <w:tblW w:w="9177" w:type="dxa"/>
        <w:jc w:val="center"/>
        <w:tblInd w:w="0" w:type="dxa"/>
        <w:tblLayout w:type="fixed"/>
        <w:tblCellMar>
          <w:top w:w="28" w:type="dxa"/>
          <w:left w:w="28" w:type="dxa"/>
          <w:bottom w:w="28" w:type="dxa"/>
          <w:right w:w="28" w:type="dxa"/>
        </w:tblCellMar>
      </w:tblPr>
      <w:tblGrid>
        <w:gridCol w:w="494"/>
        <w:gridCol w:w="433"/>
        <w:gridCol w:w="437"/>
        <w:gridCol w:w="696"/>
        <w:gridCol w:w="2034"/>
        <w:gridCol w:w="359"/>
        <w:gridCol w:w="109"/>
        <w:gridCol w:w="109"/>
        <w:gridCol w:w="109"/>
        <w:gridCol w:w="829"/>
        <w:gridCol w:w="1832"/>
        <w:gridCol w:w="428"/>
        <w:gridCol w:w="109"/>
        <w:gridCol w:w="109"/>
        <w:gridCol w:w="109"/>
        <w:gridCol w:w="211"/>
        <w:gridCol w:w="61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$1.2 million during the three months ended June 30, 2026 compared to the same period in the prior year due to sustained increased levels of cash and cash equivalents during the three months ended June 30, 2026 as compared to the three months ended June 30, 2025.</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income for the periods presented (in thousands):</w:t>
      </w:r>
    </w:p>
    <w:tbl>
      <w:tblPr>
        <w:tblW w:w="9029" w:type="dxa"/>
        <w:jc w:val="center"/>
        <w:tblInd w:w="0" w:type="dxa"/>
        <w:tblLayout w:type="fixed"/>
        <w:tblCellMar>
          <w:top w:w="28" w:type="dxa"/>
          <w:left w:w="28" w:type="dxa"/>
          <w:bottom w:w="28" w:type="dxa"/>
          <w:right w:w="28" w:type="dxa"/>
        </w:tblCellMar>
      </w:tblPr>
      <w:tblGrid>
        <w:gridCol w:w="440"/>
        <w:gridCol w:w="386"/>
        <w:gridCol w:w="389"/>
        <w:gridCol w:w="696"/>
        <w:gridCol w:w="2034"/>
        <w:gridCol w:w="359"/>
        <w:gridCol w:w="109"/>
        <w:gridCol w:w="109"/>
        <w:gridCol w:w="109"/>
        <w:gridCol w:w="894"/>
        <w:gridCol w:w="1726"/>
        <w:gridCol w:w="470"/>
        <w:gridCol w:w="109"/>
        <w:gridCol w:w="109"/>
        <w:gridCol w:w="109"/>
        <w:gridCol w:w="211"/>
        <w:gridCol w:w="61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increased by $1.8 million during the three months ended June 30, 2026 compared to the same period in the prior year due to the sale of the legacy GlycoMimetics intellectual property assets in the current year.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expense for the periods presented (in thousands):</w:t>
      </w:r>
    </w:p>
    <w:tbl>
      <w:tblPr>
        <w:tblW w:w="9239" w:type="dxa"/>
        <w:jc w:val="center"/>
        <w:tblInd w:w="0" w:type="dxa"/>
        <w:tblLayout w:type="fixed"/>
        <w:tblCellMar>
          <w:top w:w="28" w:type="dxa"/>
          <w:left w:w="28" w:type="dxa"/>
          <w:bottom w:w="28" w:type="dxa"/>
          <w:right w:w="28" w:type="dxa"/>
        </w:tblCellMar>
      </w:tblPr>
      <w:tblGrid>
        <w:gridCol w:w="516"/>
        <w:gridCol w:w="452"/>
        <w:gridCol w:w="456"/>
        <w:gridCol w:w="894"/>
        <w:gridCol w:w="1726"/>
        <w:gridCol w:w="470"/>
        <w:gridCol w:w="109"/>
        <w:gridCol w:w="109"/>
        <w:gridCol w:w="109"/>
        <w:gridCol w:w="645"/>
        <w:gridCol w:w="2112"/>
        <w:gridCol w:w="333"/>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2025 related to our previously outstanding Convertible Notes with an initial principal amount of $37.5 million issued to various investors in October 2024, which converted to common stock (now, ordinary shares) and pre-funded warrants upon the close of the Merger. No further interest expense is expected following the conversion of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 for the Six Months Ended June 30, 2026 Compared to the Six Months Ended June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 of operations and comprehensive loss for the periods presented (in thousands):</w:t>
      </w:r>
    </w:p>
    <w:tbl>
      <w:tblPr>
        <w:tblW w:w="10205" w:type="dxa"/>
        <w:jc w:val="center"/>
        <w:tblInd w:w="0" w:type="dxa"/>
        <w:tblLayout w:type="fixed"/>
        <w:tblCellMar>
          <w:top w:w="28" w:type="dxa"/>
          <w:left w:w="28" w:type="dxa"/>
          <w:bottom w:w="28" w:type="dxa"/>
          <w:right w:w="28" w:type="dxa"/>
        </w:tblCellMar>
      </w:tblPr>
      <w:tblGrid>
        <w:gridCol w:w="990"/>
        <w:gridCol w:w="867"/>
        <w:gridCol w:w="870"/>
        <w:gridCol w:w="535"/>
        <w:gridCol w:w="2019"/>
        <w:gridCol w:w="276"/>
        <w:gridCol w:w="109"/>
        <w:gridCol w:w="109"/>
        <w:gridCol w:w="109"/>
        <w:gridCol w:w="535"/>
        <w:gridCol w:w="2019"/>
        <w:gridCol w:w="276"/>
        <w:gridCol w:w="109"/>
        <w:gridCol w:w="109"/>
        <w:gridCol w:w="109"/>
        <w:gridCol w:w="211"/>
        <w:gridCol w:w="795"/>
        <w:gridCol w:w="158"/>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(35,255)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(48,120)</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(36,938)</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$2,923 and $15,069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$630 for the six months ended June 30, 2026 and June 30, 2025, respectively.</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related party amount of $0 and $865 for the six months ended June 30, 2026 and June 30, 2025, respectively.</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License Agreement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license revenue generated for the periods presented (in thousands):</w:t>
      </w:r>
    </w:p>
    <w:tbl>
      <w:tblPr>
        <w:tblW w:w="9660" w:type="dxa"/>
        <w:jc w:val="center"/>
        <w:tblInd w:w="0" w:type="dxa"/>
        <w:tblLayout w:type="fixed"/>
        <w:tblCellMar>
          <w:top w:w="28" w:type="dxa"/>
          <w:left w:w="28" w:type="dxa"/>
          <w:bottom w:w="28" w:type="dxa"/>
          <w:right w:w="28" w:type="dxa"/>
        </w:tblCellMar>
      </w:tblPr>
      <w:tblGrid>
        <w:gridCol w:w="842"/>
        <w:gridCol w:w="740"/>
        <w:gridCol w:w="743"/>
        <w:gridCol w:w="642"/>
        <w:gridCol w:w="1876"/>
        <w:gridCol w:w="332"/>
        <w:gridCol w:w="109"/>
        <w:gridCol w:w="109"/>
        <w:gridCol w:w="109"/>
        <w:gridCol w:w="825"/>
        <w:gridCol w:w="1592"/>
        <w:gridCol w:w="433"/>
        <w:gridCol w:w="109"/>
        <w:gridCol w:w="109"/>
        <w:gridCol w:w="109"/>
        <w:gridCol w:w="211"/>
        <w:gridCol w:w="6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 agreement revenue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of $1.0 million for the six months ended June 30, 2026 consisted of amounts earned for the transfer of a portion of the initial supply of CR-001 to Kelun.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incurred for the periods presented (in thousands):</w:t>
      </w:r>
    </w:p>
    <w:tbl>
      <w:tblPr>
        <w:tblW w:w="10205" w:type="dxa"/>
        <w:jc w:val="center"/>
        <w:tblInd w:w="0" w:type="dxa"/>
        <w:tblLayout w:type="fixed"/>
        <w:tblCellMar>
          <w:top w:w="28" w:type="dxa"/>
          <w:left w:w="28" w:type="dxa"/>
          <w:bottom w:w="28" w:type="dxa"/>
          <w:right w:w="28" w:type="dxa"/>
        </w:tblCellMar>
      </w:tblPr>
      <w:tblGrid>
        <w:gridCol w:w="1459"/>
        <w:gridCol w:w="1189"/>
        <w:gridCol w:w="1195"/>
        <w:gridCol w:w="467"/>
        <w:gridCol w:w="1600"/>
        <w:gridCol w:w="241"/>
        <w:gridCol w:w="109"/>
        <w:gridCol w:w="109"/>
        <w:gridCol w:w="109"/>
        <w:gridCol w:w="467"/>
        <w:gridCol w:w="1600"/>
        <w:gridCol w:w="241"/>
        <w:gridCol w:w="109"/>
        <w:gridCol w:w="109"/>
        <w:gridCol w:w="109"/>
        <w:gridCol w:w="211"/>
        <w:gridCol w:w="721"/>
        <w:gridCol w:w="160"/>
      </w:tblGrid>
      <w:tr>
        <w:trPr/>
        <w:tc>
          <w:tcPr>
            <w:tcW w:w="145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costs:</w:t>
            </w:r>
          </w:p>
        </w:tc>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CR-001</w:t>
            </w:r>
            <w:r>
              <w:rPr>
                <w:rFonts w:ascii="Times New Roman;serif" w:hAnsi="Times New Roman;serif"/>
                <w:b w:val="false"/>
                <w:color w:val="000000"/>
                <w:sz w:val="13"/>
              </w:rPr>
              <w:t>(1)</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CR-002</w:t>
            </w:r>
            <w:r>
              <w:rPr>
                <w:rFonts w:ascii="Times New Roman;serif" w:hAnsi="Times New Roman;serif"/>
                <w:b w:val="false"/>
                <w:color w:val="000000"/>
                <w:sz w:val="13"/>
              </w:rPr>
              <w:t>(2)</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CR-003</w:t>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external research and discovery</w:t>
            </w:r>
            <w:r>
              <w:rPr>
                <w:rFonts w:ascii="Times New Roman;serif" w:hAnsi="Times New Roman;serif"/>
                <w:b w:val="false"/>
                <w:color w:val="000000"/>
                <w:sz w:val="13"/>
              </w:rPr>
              <w:t>(3)</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share-based compensation)</w:t>
            </w:r>
            <w:r>
              <w:rPr>
                <w:rFonts w:ascii="Times New Roman;serif" w:hAnsi="Times New Roman;serif"/>
                <w:b w:val="false"/>
                <w:color w:val="000000"/>
                <w:sz w:val="13"/>
              </w:rPr>
              <w:t>(4)</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w:t>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$2,500 and $6,239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$4,980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$1,814 for the six months ended June 30, 2026 and June 30, 2025, respectively.</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related party amount of $423 and $2,035 for the six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$14.6 million during the six months ended June 30, 2026 compared to the same period in the prior year as we develop our pipeline and continue to hire resources to support our ongoing and future research and development.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 including CROs, CMOs, and other third-party preclinical studies and clinical trials expenses, increased by $6.3 million, from $17.4 million for the six months ended June 30, 2025 to $23.7 million during the six months June 30, 2026. The increase is primarily related to an increase in CMO development and manufacturing expenses and an increase in our CRO expenses related to ongoing clinical trials and toxicology studies, offset by a decrease in research and development expenses incurred by Paragon subsequent to the termination of the ADC Paragon Option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increased by $7.3 million during the six months ended June 30, 2026 compared to the same period in the prior year as we continue to hire employees to support ongoing and future research and development. Share-</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based compensation increased by $1.2 million during the six months ended June 30, 2026 compared to the same period in the prior year, primarily as a result of increases in employee awards and partially offset by a decrease in expense related to the Parascent warrants.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in the prior year, office, facilities, and software expense increased by $0.7 million and professional and consulting fees increased by $0.3 million, both as a result of continuing support of our pipeline, as well as the commencement of our leased Waltham office beginning in May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general and administrative expenses for the period presented (in thousands):</w:t>
      </w:r>
    </w:p>
    <w:tbl>
      <w:tblPr>
        <w:tblW w:w="10205" w:type="dxa"/>
        <w:jc w:val="center"/>
        <w:tblInd w:w="0" w:type="dxa"/>
        <w:tblLayout w:type="fixed"/>
        <w:tblCellMar>
          <w:top w:w="28" w:type="dxa"/>
          <w:left w:w="28" w:type="dxa"/>
          <w:bottom w:w="28" w:type="dxa"/>
          <w:right w:w="28" w:type="dxa"/>
        </w:tblCellMar>
      </w:tblPr>
      <w:tblGrid>
        <w:gridCol w:w="1414"/>
        <w:gridCol w:w="1241"/>
        <w:gridCol w:w="1245"/>
        <w:gridCol w:w="472"/>
        <w:gridCol w:w="1617"/>
        <w:gridCol w:w="244"/>
        <w:gridCol w:w="109"/>
        <w:gridCol w:w="109"/>
        <w:gridCol w:w="109"/>
        <w:gridCol w:w="472"/>
        <w:gridCol w:w="1617"/>
        <w:gridCol w:w="244"/>
        <w:gridCol w:w="109"/>
        <w:gridCol w:w="109"/>
        <w:gridCol w:w="109"/>
        <w:gridCol w:w="211"/>
        <w:gridCol w:w="616"/>
        <w:gridCol w:w="158"/>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(including stock-based compensation)</w:t>
            </w:r>
            <w:r>
              <w:rPr>
                <w:rFonts w:ascii="Times New Roman;serif" w:hAnsi="Times New Roman;serif"/>
                <w:b w:val="false"/>
                <w:color w:val="000000"/>
                <w:sz w:val="13"/>
              </w:rPr>
              <w:t>(1)</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and consulting fees</w:t>
            </w:r>
            <w:r>
              <w:rPr>
                <w:rFonts w:ascii="Times New Roman;serif" w:hAnsi="Times New Roman;serif"/>
                <w:b w:val="false"/>
                <w:color w:val="000000"/>
                <w:sz w:val="13"/>
              </w:rPr>
              <w:t>(2)</w:t>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facilities, and software</w:t>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related to our intellectual property</w:t>
            </w:r>
            <w:r>
              <w:rPr>
                <w:rFonts w:ascii="Times New Roman;serif" w:hAnsi="Times New Roman;serif"/>
                <w:b w:val="false"/>
                <w:color w:val="000000"/>
                <w:sz w:val="13"/>
              </w:rPr>
              <w:t>(3)</w:t>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related party amount of $0 and $213 for the six months ended June 30, 2026 and June 30, 2025, respectively.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related party amount of $0 and $150 for the six months ended June 30, 2026 and June 30, 2025, respectively.</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related party amount of $0 and $267 for the six months ended June 30, 2026 and June 30,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$4.1 million during the six months ended June 30, 2026 compared to the same period in the prior year. Personnel-related expenses increased by $2.1 million during the six months ended June 30, 2026 compared to the same period in the prior year. Increases in personnel-related expenses were primarily the result of our continued hiring of executives and administrative employees, resulting in increases to both share-based compensation and other compensation costs during six months ended June 30, 2026 compared to the same period in the prior year by $0.3 million and $1.8 million,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Professional and consulting fees decreased by $0.1 million during the six months ended June 30, 2026 compared to the same period in the prior year due to our continued hiring of workforce employees and an accordingly lower reliance on external consultants. Office, facilities, and software increased by $1.6 million, primarily as a result of the commencement of our leased Waltham office beginning in May 2025 and insurance costs related to operating as a public company.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income for the periods presented (in thousands):</w:t>
      </w:r>
    </w:p>
    <w:tbl>
      <w:tblPr>
        <w:tblW w:w="8699" w:type="dxa"/>
        <w:jc w:val="center"/>
        <w:tblInd w:w="0" w:type="dxa"/>
        <w:tblLayout w:type="fixed"/>
        <w:tblCellMar>
          <w:top w:w="28" w:type="dxa"/>
          <w:left w:w="28" w:type="dxa"/>
          <w:bottom w:w="28" w:type="dxa"/>
          <w:right w:w="28" w:type="dxa"/>
        </w:tblCellMar>
      </w:tblPr>
      <w:tblGrid>
        <w:gridCol w:w="494"/>
        <w:gridCol w:w="433"/>
        <w:gridCol w:w="437"/>
        <w:gridCol w:w="642"/>
        <w:gridCol w:w="1876"/>
        <w:gridCol w:w="332"/>
        <w:gridCol w:w="109"/>
        <w:gridCol w:w="109"/>
        <w:gridCol w:w="109"/>
        <w:gridCol w:w="765"/>
        <w:gridCol w:w="1690"/>
        <w:gridCol w:w="395"/>
        <w:gridCol w:w="109"/>
        <w:gridCol w:w="109"/>
        <w:gridCol w:w="109"/>
        <w:gridCol w:w="211"/>
        <w:gridCol w:w="61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$2.5 million during the six months ended June 30, 2026 compared to the same period in the prior year due to sustained increased levels of cash and cash equivalents during the six months ended June 30, 2026 as compared to the six months ended June 30, 2025.</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income for the periods presented (in thousands):</w:t>
      </w:r>
    </w:p>
    <w:tbl>
      <w:tblPr>
        <w:tblW w:w="8550" w:type="dxa"/>
        <w:jc w:val="center"/>
        <w:tblInd w:w="0" w:type="dxa"/>
        <w:tblLayout w:type="fixed"/>
        <w:tblCellMar>
          <w:top w:w="28" w:type="dxa"/>
          <w:left w:w="28" w:type="dxa"/>
          <w:bottom w:w="28" w:type="dxa"/>
          <w:right w:w="28" w:type="dxa"/>
        </w:tblCellMar>
      </w:tblPr>
      <w:tblGrid>
        <w:gridCol w:w="440"/>
        <w:gridCol w:w="386"/>
        <w:gridCol w:w="389"/>
        <w:gridCol w:w="642"/>
        <w:gridCol w:w="1876"/>
        <w:gridCol w:w="332"/>
        <w:gridCol w:w="109"/>
        <w:gridCol w:w="109"/>
        <w:gridCol w:w="109"/>
        <w:gridCol w:w="825"/>
        <w:gridCol w:w="1592"/>
        <w:gridCol w:w="433"/>
        <w:gridCol w:w="109"/>
        <w:gridCol w:w="109"/>
        <w:gridCol w:w="109"/>
        <w:gridCol w:w="211"/>
        <w:gridCol w:w="61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increased by $1.8 million during the six months ended June 30, 2026 compared to the same period in the prior year due to the sale of the legacy GlycoMimetics intellectual property assets in the current year.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interest expense for the periods presented (in thousands):</w:t>
      </w:r>
    </w:p>
    <w:tbl>
      <w:tblPr>
        <w:tblW w:w="8759" w:type="dxa"/>
        <w:jc w:val="center"/>
        <w:tblInd w:w="0" w:type="dxa"/>
        <w:tblLayout w:type="fixed"/>
        <w:tblCellMar>
          <w:top w:w="28" w:type="dxa"/>
          <w:left w:w="28" w:type="dxa"/>
          <w:bottom w:w="28" w:type="dxa"/>
          <w:right w:w="28" w:type="dxa"/>
        </w:tblCellMar>
      </w:tblPr>
      <w:tblGrid>
        <w:gridCol w:w="516"/>
        <w:gridCol w:w="452"/>
        <w:gridCol w:w="456"/>
        <w:gridCol w:w="825"/>
        <w:gridCol w:w="1592"/>
        <w:gridCol w:w="433"/>
        <w:gridCol w:w="109"/>
        <w:gridCol w:w="109"/>
        <w:gridCol w:w="109"/>
        <w:gridCol w:w="595"/>
        <w:gridCol w:w="1948"/>
        <w:gridCol w:w="307"/>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2025 related to our previously outstanding Convertible Notes with an initial principal amount of $37.5 million issued to various investors in October 2024, which converted to common stock (now, ordinary shares) and pre-funded warrants upon the close of the Merger. No further interest expense is expected following the conversion of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We expect to incur significant expenses and operating losses for the foreseeable future as we continue the preclinical development of our programs and commence clinical development of CR-001, CR-002, and CR-003. We have not yet commercialized any products and we do not expect to generate revenue from sales of products for several years, if at all. To date, we have funded our operations primarily with proceeds from the issuance of Series Seed convertible preferred shares, ordinary shares, and pre-funded warrants, and the sale of our Convertible Notes. In September 2024, we issued and sold 20,000,000 shares of Series Seed Preferred Stock to Fairmount, through an affiliate fund, at a purchase price of $0.20 per share, for total gross proceeds of $4.0 million, which qualified as a related party transaction. In October 2024, we received $37.5 million in net proceeds from the issuance of our Convertible Notes to several investors, of which Fairmount, through an affiliate fund, held a convertible note with an initial principal amount of $15.0 million, which qualified as a related party transaction. In June 2025, we raised approximately $142.3 million in net proceeds from the Pre-Closing Financing, excluding the previously received proceeds from the Convertible Notes, and received $1.3 million in cash from GlycoMimetics upon consummation of the Merger. In December 2025, we raised approximately $171.9 million in net proceeds from the Private Placement. As of June 30, 2026, we had cash and cash equivalents of $171.6 million. Additionally, we raised approximately $133.5 million in net proceeds from the July 2026 Offering.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primary use of cash is to fund the development of our product candidates and advance our pipeline. This includes both the research and development costs and the general and administrative expenses required to support those operations. Because we are a clinical-stage biotechnology company, we have incurred significant operating losses since our inception and we anticipate such losses to increase as we continue to pursue clinical development of our product candidates, prepare for the potential commercialization of our product candidates, and expand our development efforts in our pipeline of nonclinical candidates. We expect that our existing cash will be sufficient to fund our operating plans for at least twelve months from the date of this Quarterly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 and our operations.</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 presented (in thousands):</w:t>
      </w:r>
    </w:p>
    <w:tbl>
      <w:tblPr>
        <w:tblW w:w="10205" w:type="dxa"/>
        <w:jc w:val="center"/>
        <w:tblInd w:w="0" w:type="dxa"/>
        <w:tblLayout w:type="fixed"/>
        <w:tblCellMar>
          <w:top w:w="28" w:type="dxa"/>
          <w:left w:w="28" w:type="dxa"/>
          <w:bottom w:w="28" w:type="dxa"/>
          <w:right w:w="28" w:type="dxa"/>
        </w:tblCellMar>
      </w:tblPr>
      <w:tblGrid>
        <w:gridCol w:w="1972"/>
        <w:gridCol w:w="1729"/>
        <w:gridCol w:w="1735"/>
        <w:gridCol w:w="305"/>
        <w:gridCol w:w="1149"/>
        <w:gridCol w:w="157"/>
        <w:gridCol w:w="109"/>
        <w:gridCol w:w="109"/>
        <w:gridCol w:w="109"/>
        <w:gridCol w:w="501"/>
        <w:gridCol w:w="1962"/>
        <w:gridCol w:w="368"/>
      </w:tblGrid>
      <w:tr>
        <w:trPr/>
        <w:tc>
          <w:tcPr>
            <w:tcW w:w="19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(27,253)</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145,378 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117,985 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operating activities was $28.4 million, which was primarily attributable to a net loss of $48.1 million, partially offset by non-cash charges of $6.6 million and net cash provided by changes in operating activities of $13.1 million. The changes in operating activities were primarily due to the receipt of proceeds from the CR-001 License Agreement with Kelun, as well as an increase in our business activity and timing of vendor invoicing and payments. Non-cash charges primarily consisted of $8.1 million in share-based compensation expense and the $1.8 million gain on sale of legacy GlycoMimetics intellectual property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used in operating activities was $27.3 million, which was primarily attributable to a net loss of $36.9 million, partially offset by non-cash charges of $8.8 million, and net cash provided by changes in operating activities of $0.9 million. The changes in operating activities were primarily due to an increase in our business activity as well as the timing of vendor invoicing and payments. Non-cash charges primarily consisted of $6.6 million in share-based compensation expense and of $2.2 million non-cash interest expense.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investing activities was attributable to the remittance to tax authorities on Kelun’s behalf of $8.0 million in withholding taxes related to the SKB105 License Agreement, proceeds received from the sale of legacy GlycoMimetics intellectual property assets of $1.8 million, and $0.2 million of purchases of property and equipment associated with the build-out of the sublease of office space located in Waltham, Massachusetts.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was attributable to purchases $0.1 million of property and equipment associated with the build out of the sublease of office space located in Waltham, Massachusetts.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financing activities was $6.8 million, consisting of $7.1 million of payments for deferred offering costs related to the Private Placement and the July 2026 Offering and proceeds of $0.3 million from the issuance of ESPP shares.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provided by financing activities was $145.4 million, consisting primarily of $144.3 million of net proceeds from the Pre-Closing Financing and $1.3 million of cash acquired in connection with the reverse recapitalization, partially offset by the repurchase of restricted stock awards of $0.2 million.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CROs, CMOs, and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cancellable contracts. We do not expect any such contract terminations and did not have any non-cancellable obligations under these agreements as of June 30, 2026. See Notes 11, 12, and 13 to the condensed consolidated financial statements included in Part I, Item 1 of this Quarterly Report for further information on our contractual lease obligations for our office in Waltham, Massachusetts, and other commitments, including the commitments under the Option and License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condensed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more detail in Item 7. Management’s Discussion and Analysis of Financial Condition and Results of Operations and in Note 2 to our consolidated financial statements for the twelve months ended December 31, 2025 included in Part II, Item 8 of our Annual Report. There have been no material changes to our critical accounting policies and estimates that were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is disclosed in Note 2 to the condensed consolidated financial statements as of June 30, 2026 included in Part I, Item 1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we did not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under the Securities Exchange Act of 1934, as amended (the “Exchange Act”),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as defined in Rules 13a-15(e) and Rule 15d-15(e) under the Exchange Act, no matter how well designed and operated, can provide only reasonable assurance of achieving their objectives. In addition, the design of disclosure controls and procedures must reflect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June 30, 2026. Based on the foregoing evaluation, our principal executive officer and principal financial officer concluded that our disclosure controls and procedures were effective at a reasonable assurance level as of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Our management believes that there are currently no claims or actions pending against us that could reasonably be expected to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Our business faces significant risks and uncertainties. The occurrence of any of these risks could harm our business, financial condition, results of operations and/or growth prospects or cause our actual results to differ materially from those contained in forward-looking statements we have made in this Quarterly Report on Form 10-Q and those we may make from time to time. Additional risks and uncertainties not presently known to us or that we currently believe to be immaterial may also adversely affect our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Condition and Capital Requirements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clinical-stage biotechnology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 acquire, and develop our product candidates, organizing and staffing our company, and providing general and administrative support for our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Developing our product candidates requires a substantial amount of capital. We expect our research and development expenses to continue to increase in connection with our ongoing activities, particularly as we advance our product candidates through preclinical studies and clinical trials. We will need to raise additional capital to fund our operations, and such funding may not be available to us on acceptable terms, or at all, and such funding may become even more difficult to obtain due to rising interest rates and a downturn in the U.S. capital markets and the biotechnology sector in general. Competition for additional capital among biotechnology companies may be particularly intense during economic downturns. We may be unable to raise capital through public offerings of our ordinary shares and may need to turn to alternative financing arrangements. Such arrangements, if we pursue them, could involve the issuance of one or more types of securities, including ordinary shares, preferred shares, convertible debt, warrants to acquire ordinary shares, or other securities. These securities could be issued at or below the then prevailing market price for our ordinary shares. In addition, if we issue debt securities, the holders of the debt would have a claim to our assets that would be superior to the rights of shareholders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ordinary shares, the market price of our ordinary shares could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preclinical studies and clinical trials and other product development activities, regulatory events, our ability to identify and enter into 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raise additional capital when required or on acceptable terms, we may be required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significantly delay, scale back, or discontinue the development or commercialization of our product candidates;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dispose of technology assets, or relinquish or license on unfavorable terms, our rights to technologies or any of our product candidates that we otherwise would seek to develop or commercialize ourselves;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pursue the sale of the company to a third party at a price that may result in a loss on investment for our shareholders;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file for bankruptcy or cease operations altogether (and face any related legal proceedings).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business, operating results,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successful in raising new capital, we could be limited in the amount of capital we raise due to investor demand restrictions placed on the amount of capital we raise or other reasons. </w:t>
      </w:r>
    </w:p>
    <w:p>
      <w:pPr>
        <w:pStyle w:val="TextBody"/>
        <w:bidi w:val="0"/>
        <w:spacing w:lineRule="auto" w:line="288" w:before="0" w:after="180"/>
        <w:jc w:val="left"/>
        <w:rPr/>
      </w:pPr>
      <w:r>
        <w:rPr>
          <w:rFonts w:ascii="Times New Roman;serif" w:hAnsi="Times New Roman;serif"/>
          <w:b w:val="false"/>
          <w:color w:val="000000"/>
          <w:sz w:val="20"/>
        </w:rPr>
        <w:t>Additionally, any capital raising efforts are subject to significant risks and contingencies, as described in more detail under the risk factor titled “</w:t>
      </w:r>
      <w:r>
        <w:rPr>
          <w:rFonts w:ascii="Times New Roman;serif" w:hAnsi="Times New Roman;serif"/>
          <w:b w:val="false"/>
          <w:i/>
          <w:color w:val="000000"/>
          <w:sz w:val="20"/>
        </w:rPr>
        <w:t>Raising additional capital may cause additional dilution to our</w:t>
      </w:r>
      <w:r>
        <w:rPr>
          <w:color w:val="000000"/>
        </w:rPr>
        <w:t xml:space="preserve"> </w:t>
      </w:r>
      <w:r>
        <w:rPr>
          <w:rFonts w:ascii="Times New Roman;serif" w:hAnsi="Times New Roman;serif"/>
          <w:b w:val="false"/>
          <w:i/>
          <w:color w:val="000000"/>
          <w:sz w:val="20"/>
        </w:rPr>
        <w:t>shareholders, restrict our</w:t>
      </w:r>
      <w:r>
        <w:rPr>
          <w:color w:val="000000"/>
        </w:rPr>
        <w:t xml:space="preserve"> </w:t>
      </w:r>
      <w:r>
        <w:rPr>
          <w:rFonts w:ascii="Times New Roman;serif" w:hAnsi="Times New Roman;serif"/>
          <w:b w:val="false"/>
          <w:i/>
          <w:color w:val="000000"/>
          <w:sz w:val="20"/>
        </w:rPr>
        <w:t>operations, or require us to relinquish rights.</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never generated any revenue from product sales and may never be profitable.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completing research and development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regulatory approvals for our product candidates for which we complete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qualifying for adequate coverage and reimbursement by government and third-party payors for any product candidates for which we obtain regulatory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marketing, launching, and commercializing product candidates for which we obtain regulatory approval, either directly or with a collaborator or distributor;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gaining market acceptance of our product candidates as treatment options;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addressing any competing products and technological and market developments;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implementing internal systems and infrastructure, as needed;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protecting and enforcing our intellectual property rights, including patents, trade secrets, and know-how;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favorable terms in any collaboration, licensing, or other arrangements into which we may enter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coverage and adequate reimbursement from third-party payors and maintaining pricing for our product candidates that supports profitability;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attracting, hiring, and retaining qualified personnel.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anticipate. Even if we are able to generate revenues from the sale of any approved products, we may not become profitable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may need to obtain additional funding to continue operations. We will also have to develop or acquire manufacturing capabilities or continue to contract with contract manufacturers in order to continue development and potential commercialization of our product candidates. For instance, if the costs of manufacturing our drug product are not commercially feasible, we will need to develop or procure our drug product in a commercially feasible manner in order to successfully commercialize a future approved product, if any. Additionally, if we are not able to generate revenue from the sale of any approved products, we may never become profitable.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a clinical-stage biotechnology company with a limited operating history on which to assess our business; we have not completed any clinical trials, have no products approved for commercial sale, have historically incurred losses, and anticipate that we will continue to incur significant losses for the foreseeable future.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company with a limited operating history. Since September 19, 2024 (inception), we have incurred significant operating losses. For the six months ended June 30, 2026, we reported a net loss of $48.1 million and had an accumulated deficit of $219.9 million. We will need to raise substantial additional capital to continue to fund our operations in the future. 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devoted substantially all of our financial resources to identify, acquire, and develop our product candidates, organizing and staffing our company, and providing general and administrative support for our operations. To date, we have funded our operations primarily from the sale and issuance of convertible preferred and common equity securities and unsecured convertible notes. The amount of our future net losses will depend, in part, on the rate of our future expenditures and our ability to obtain funding through equity or debt financings, strategic collaborations, or grants. </w:t>
      </w:r>
    </w:p>
    <w:p>
      <w:pPr>
        <w:pStyle w:val="TextBody"/>
        <w:bidi w:val="0"/>
        <w:spacing w:before="0" w:after="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and/or have a product candidate approved for commercialization. We expect to invest significant funds into the research and development of our current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incur significant expenses and increasing operating losses for the foreseeable future and our expenses will increase substantially if and as we: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the preclinical and clinical development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efforts to discover and develop new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 the manufacturing of our product candidates or increase volumes manufactured by third parties;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advance our product candidates into larger, more expensive clinical trials;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initiate additional preclinical studies or clinical trials for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regulatory approvals and reimbursement for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establish a sales, marketing, and distribution infrastructure to commercialize any products for which we may obtain regulatory approval and market for ourselves;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seek to identify, assess, acquire, and/or develop other product candidates;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 milestone, royalty, or other payments under third-party license agreements;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to maintain, protect, and expand our intellectual property portfolio;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are required to pay penalties under our Registration Rights Agreement for failing to timely register the applicable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seek to attract and retain skilled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experience any delays or encounter issues with the development and potential regulatory approval of our clinical and product candidates such as safety issues, manufacturing delays, clinical trial accrual delays, longer follow-up for planned studies or trials, additional major studies or trials, or supportive trials necessary to support regulatory approval;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incur additional costs associated with operating as a public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as a company in initiating and conducting clinical trials, and no experience in completing clinical trials. In part because of this limited experience, we cannot be certain that our planned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Further, the net losses we incur may fluctuate significantly from quarter to quarter and year to year, such that a period-to-period comparison of our results of operations may not be a good indication of our future performance.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additional dilution to our shareholders, restrict our operations, or require us to relinquish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the sale of our product candidates, we have financed our cash needs and expect to finance future cash needs through a combination of equity offerings, debt financings, and license and development agreements. To the extent that we raise capital through the additional sale of equity securities or through convertible debt securities, the ownership interest of our shareholders will be further diluted, and the terms of these securities may include liquidation or other preferences that adversely affect the rights of holders of our ordinary shares.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through the sale of equity, including pursuant to any sales under convertible debt or other securities convertible into equity, the ownership interest of our shareholders will be diluted, and the terms of these new securities may include liquidation or other preferences that adversely affect the rights of our shareholders. For instance, immediately prior to the consummation of the Merger, certain institutional and accredited investors purchased shares of Pre-Merger Crescent common stock and pre-funded warrants for an aggregate purchase price of $200.0 million (which includes $37.5 million of gross proceeds we previously received from the issuance of the Convertible Notes in October 2024). Additionally, in December 2025, certain investors agreed to purchase ordinary shares of Crescent and pre-funded warrants for an aggregate purchase price of $185.0 million and in July 2026, we sold approximately 9.4 million of our ordinary shares and 525,897 pre-funded warrants exercisable for our ordinary shares in an underwritten public offering for net proceeds of approximately $133.5 million, after deducting underwriting discounts and commissions and other offering expenses. In addition, we are able to sell up to $200.0 million of our ordinary shares through an “at-the-market” equity offering program.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licenses on terms that are not favorable to us. We cannot assure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Discovery, Development, and Commercialization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face competition from entities that have developed or may develop programs for the diseases addressed by product candidates developed by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drugs is highly competitive. Product candidates developed by us,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including Merck, Bristol Myers Squibb, Genentech, AstraZeneca, Summit Therapeutics Inc., BioNTech SE, LaNova Medicines Ltd., and Compass Therapeutics, Inc.,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regulatory approved products than we do, and are further along in the clinical development and/or commercialization process than we are.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registering patients for clinical trials, establishing and defending rights to intellectual property, as well as in acquiring technologies complementary to, or necessary for,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competitors have developed, are developing, or may in the future develop programs and processes competitive with our programs and processes.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Conversely, the lack of commercial success of other competing programs may raise concerns about the financial viability of our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substantially dependent on the success of our lead program, CR-001, as well as our ADC programs, CR-002 and CR-003, and our development programs may not be successful.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is substantially dependent on our ability to timely obtain regulatory approval for, and then successfully commercialize, our lead program, CR-001. We also intend to advance our ADC programs, CR-002 and CR-003. We are investing a majority of our efforts and financial resources into the research and development of these programs. We believe the success of CR-001 is dependent on observing in CR-001 the targeting, binding, cooperativity and pharmacokinetics of ivonescimab, an anti-PD-1/anti-VEGF bispecific antibody that demonstrated significantly improved progression-free survival (“PFS”) to market-leading pembrolizumab in a large third-party Phase 3 clinical trial, while avoiding the mechanistic risks that could perturb the balance of efficacy and safety that define this new class of immunotherapy. To the extent we do not observe the above-noted targeting, binding, cooperativity and pharmacokinetics in CR-001, or are otherwise unsuccessful in our efforts to develop CR-001, it would significantly and adversely affect the clinical and commercial potential of CR-001.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candidates will require additional clinical development, evaluation of clinical, preclinical, and manufacturing activities, product development, regulatory approval in multiple jurisdictions, substantial investment, and significant marketing efforts before we generate any revenues from product sales. We are not permitted to market or promote any of our product candidates before we receive regulatory approval from the FDA and comparable foreign regulatory authorities, and we may never receive such regulatory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product candidates will depend on a variety of factors. We do not have complete control over many of these factors, including certain aspects of clinical development and the regulatory submission process, potential threats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our CR-001, CR-002, CR-003 and any future programs, including CR-004, or are significantly delayed in doing so, our business will be materially harmed.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announce and expect, the commercialization of our product candidates may be delayed and our expenses may increase and, as a result, our share price may decline.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anticipated commencement of our Phase 1/2 studies, and clinical trials in solid tumor and other target indications, as well as the receipt of clinical data, and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 candidates may be delayed or never achieved and, as a result, our share price may decline. Additionally, delays relative to our projected timelines are likely to cause overall expenses to increase, which may require us to raise additional capital sooner than expected and prior to achieving targeted development milestones.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drug delivery device that we potentially use to deliver our product candidates may have its own regulatory, development, supply and other risks.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For example, the FDA’s review of a marketing application for our product candidates may include the participation of both the FDA’s Center for Biologics Evaluation and Research and the FDA’s Center for Devices and Radiological Health. 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biologic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our programs is unproven, and we may not be successful in our efforts to build a pipeline of programs with commercial value.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approach to the discovery and development of our programs, particularly CR-001, leverages clinically validated mechanisms of action and incorporates the targeting, binding, cooperativity and pharmacokinetics of ivonescimab, an anti-PD-1/anti-VEGF bispecific antibody that demonstrated significantly improved PFS to market-leading pembrolizumab in HARMONi-2, a large Phase 3 clinical trial, sponsored by Akeso, for the treatment of naïve, or not previously treated, advanced and metastatic NSCLC. Our programs are purposefully designed to avoid mechanistic risks that could perturb the balance of efficacy and safety that defines this new class of immunotherapy. However, the scientific research that forms the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basis of our efforts to develop programs using ivonescimab-like technologies is ongoing and may not result in viable programs. There are limited clinical data available on product candidates utilizing the same mechanism of action as ivonescimab, especially in solid tumor indications, demonstrating whether they are safe or effective for long-term treatment in humans. The long-term safety and efficacy of these technologies and exposure profile of our programs compared to currently approved products is unknown. Additionally, there can be no assurance that our ongoing and planned clinical trials will generate results compared to those observed for ivonescimab, particularly where we conduct trials outside of NSCLC.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ultimately discover that reproducing ivonescimab’s established pharmacology for its specific targets and indications and any programs resulting therefrom does not possess certain properties required for therapeutic effectiveness. We currently have only preclinical data regarding the ivonescimab-like properties of our programs and the same results may not be seen in humans. In addition, programs using ivonescimab-like technologies may demonstrate different chemical and pharmacological properties in patients than they do in laboratory studies. This technology and any programs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In addition, the failure of companies that are developing products similar to us or targeting the same indications as we are to demonstrate safety and efficacy of their product candidates may be harmful to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in the future seek to discover and develop programs that are based on novel targets and technologies that are unproven. If our discovery or business development activities fail to identify novel targets or technologies for drug development,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such programs would have little, if any, value, which would have a material and adverse effect on our business, financial condition, results of operations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Before obtaining approval from regulatory authorities for the commercialization of any of our product candidates, we must conduct extensive clinical trials to demonstrate the safety purity, potency,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know whether our planned preclinical studies or clinical trials will begin on time or be completed on schedule, if at all. The timing for commencement, data readouts and completion of clinical trials can be delayed for a number of reasons, including delays related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generate sufficient preclinical, toxicology,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data to support the initiation or continuation of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allowance or approval from regulatory authorities to commence a trial or reaching a consensus with regulatory authorities on trial design;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disagreeing as to the design or implementation of our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failure or delay in reaching an agreement with Contract Research Organizations (“CROs”) and clinical trial sites, the terms of which can be subject to extensive negotiation and may vary significantly among different CROs and trial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identifying, recruiting and training suitable clinical investigators;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approval from one or more institutional review boards (“IRBs”), or ethics committees at clinical trial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IRBs refusing to approve, suspending or terminating the trial at an investigational site, precluding enrollment of additional subjects, or withdrawing their approval of the trial;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or amendments to the clinical trial protocol;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clinical sites deviating from the trial protocol or dropping out of a trial;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by our CROs to perform in accordance with Good Clinical Practice (“GCP”) requirements or applicable regulatory rules and guidelines in other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manufacturing sufficient quantities of our product candidates, or obtaining sufficient quantities of combination therapies for use in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subjects failing to enroll or remain in our trials at the rate we expect, or failing to return for post-treatment follow-up, including subjects failing to remain in our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patients choosing an alternative product for the indications for which we are developing our product candidates, or participating in competing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lack of adequate funding to continue a clinical trial, or costs being greater than we anticipate;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subjects experiencing severe or serious unexpected drug-related adverse effects;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occurrence of serious adverse events in trials of the same class of agents conducted by other companies that could be considered similar to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selection of clinical endpoints that require prolonged periods of clinical observation or extended analysis of the resulting data;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 parties being unwilling or unable to satisfy their contractual obligations to us in a timely manner.</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conducting clinical trials in foreign countries, as we may do for our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EU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encounter difficulties enrolling patients in our future clinical trials, our clinical development activities could be delayed or otherwise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Patient enrollment in clinical trials may be affected by other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size and nature of the targeted patient population;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severity of the disease or condition under investigation;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and efficacy of approved therapies for the disease or condition under investigation;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 eligibility criteria for the trial in question as defined in the protocol;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perceived risks and benefits of the product candidate under study;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efforts to facilitate timely enrollment in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patient referral practices of physicians;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to monitor patients adequately during and after treatment;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proximity and availability of clinical trial sites for prospective patients;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continued enrollment of prospective patients by clinical trial sites;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such trials before completion.</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other pharmaceutical companies targeting these same diseases are recruiting clinical trial patients from these patient populations, which may make it more difficult for us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Preliminary, “topline”, or interim data from our clinical trials that we announce or publish from time to time may change as more patient data become available and are subject to audit and verification procedures. </w:t>
      </w:r>
    </w:p>
    <w:p>
      <w:pPr>
        <w:pStyle w:val="TextBody"/>
        <w:bidi w:val="0"/>
        <w:spacing w:lineRule="auto" w:line="288" w:before="0" w:after="180"/>
        <w:jc w:val="left"/>
        <w:rPr/>
      </w:pPr>
      <w:r>
        <w:rPr>
          <w:rFonts w:ascii="Times New Roman;serif" w:hAnsi="Times New Roman;serif"/>
          <w:b w:val="false"/>
          <w:color w:val="000000"/>
          <w:sz w:val="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As a result, 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disclosure of such data by us could result in volatility in the price of our ordinary shares.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our product candidates could be associated with adverse side effects, adverse events or other properties or safety risks, which could delay or preclude approval, cause us to suspend or discontinue clinical trials, abandon a product candidate, limit the commercial profile of an approved product or result in other significant negative consequences that could severely harm our business, prospects, operating results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our clinical trials could reveal a high and unacceptable severity and prevalence of side effects or unexpected characteristics. Undesirable side effects caused by our product candidates, whether used alone on in combination with other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therapies, could cause us or regulatory authorities to interrupt, delay or halt clinical trials or lead to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our product candidates are associated with undesirable side effects or have unexpected characteristics in preclinical studies or clinical trials, when used alone or in combination with other approved products or investigational drugs,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Patients in our ongoing and planned clinical trials may in the future suffer significant adverse events or other side effects not observed in our preclinical studies or previous clinical trials.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If such significant adverse events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suspend marketing of a product, or we may decide to remove such product from the marketplace;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or change their approvals of a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create a medication guide outlining the risks of a product for patients, or to conduct post-marketing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required to change the way a product is administered;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subject to fines, injunctions, or the imposition of criminal or civil penalties, or be sued and held liable for harm caused to subjects or patients;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product may become less competitive, and our reputation may suffer.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attempt to obtain accelerated approval of our product candidates. If we are unable to obtain accelerated approval, we may be required to conduct clinical trials beyond those that we contemplate, or the size and duration of our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pivotal clinical trials could be greater than currently planned, which could increase the expense of obtaining, reduce the likelihood of obtaining, and/or delay the timing of obtaining necessary regulatory approvals. Even if we receive accelerated approval from the FDA or comparable foreign regulatory authorities, the FDA or comparable foreign regulatory authorities may require that we conduct confirmatory trials to verify clinical benefit. If such confirmatory trials do not verify clinical benefit, or if we do not comply with rigorous post-approval requirements, the FDA may seek to withdraw any accelerated approval we have obtained.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accelerated approval for our product candidates. The FDA may grant accelerated approval to a product candidate designed to treat a serious or life-threatening condition that provides meaningful therapeutic advantage over available therapies and upon a determination that the product candidate has an effect on a surrogate endpoint or intermediate clinical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FDA considers a clinical benefit to be a positive therapeutic effect that is clinically meaningful in the context of a given disease.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granted, accelerated approval is usually contingent on the sponsor’s agreement to conduct, in a diligent manner, additional confirmatory studies to verify and describe the drug’s predicted effect on irreversible morbidity or mortality or other clinical benefit. Under the Food and Drug Omnibus Reform Act of 2022, the FDA may require, as appropriate, that any such confirmatory study be initiated or substantially underway prior to the submission of an application for accelerated approval. If such post-approval studies fail to confirm the drug’s clinical benefits relative to its risks, the FDA may withdraw its approval of the drug on an expedited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choose to pursue accelerated approval, there can be no assurance that the FDA will agree that we have identified appropriate surrogate or intermediate endpoints.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receive accelerated approval of any of our product candidates from the FDA, we will be subject to rigorous post-approval requirements, including submission to the FDA of all promotional materials prior to their dissemination, and will likely be required by FDA to conduct a confirmatory study to verify the predicted clinical benefit. The FDA could withdraw accelerated approval for multiple reasons, including our failure to conduct any required post-approval study with due diligence, or the inability of such study to confirm the predicted clinical benefit. A failure to obtain accelerated approval or any other form of expedited review or approval for a product candidate could result in a longer time period prior to commercializing such product candidate, if ever, increase the cost of development of such product candidate, and harm our competitive position in the marketplace.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program and fail to capitalize on programs that may be more profitable or for which there is a greater likelihood of success.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our research and development efforts on certain selected programs. We have and may continue to utilize Paragon Therapeutics, Inc. (“Paragon”) to conduct certain research activities (primarily preclinical studies) pursuant to discovery and option agreements into which we may enter, such as the Antibody Discovery and Option Agreement, dated September 19, 2024 (the “Antibody Paragon Option Agreement”), by and among Crescent, Paragon, and Parascent Holding LLC. We previously entered into the Amended and Restated ADC Discovery and Option Agreement, dated April 28, 2025 (the “ADC Paragon Option Agreement” and together with the Antibody Paragon Option Agreement, the “Paragon Option Agreements”), by and among Crescent, Paragon and Parascent Holding LLC, and we incurred certain obligations with respect to this agreement. On February 24, 2026, we provided notice to Paragon of our intention to terminate the ADC Paragon Option Agreement and it was terminated as of March 26, 2026. We no longer license intellectual property rights with respect to Former CR-003 following the ADC Option Agreement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are initially focused on our lead programs, CR-001, CR-002 and CR-003. As a result, we may forgo or delay pursuit of opportunities with other programs such as CR-004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historically we have selected product candidates amongst a variety of potential product candidates from Paragon, and the product candidates we have selected, initially CR-001 and CR-002, may fail to be viable commercial products or the product candidates we do not select may have a greater likelihood of success.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regulatory approval is obtained for a product candidate resulting from one of our current or future programs, they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solid tumors, including pembrolizumab. In addition, Opdivo, a PD-1 inhibitor, and Yervoy®, a CTLA-4 inhibitor, in combination are approved by the FDA for treating various cancers, including metastatic melanoma, advanced renal cell carcinoma, and certain types of colorectal cancer. CR-001 utilizes a proprietary anti-PD-1/anti-VEGF bispecific antibody for its proposed method of action, and is designed to recapitulate the targeting, binding, cooperativity and pharmacokinetics of ivonescimab, an anti-PD-1/anti-VEGF bispecific antibody that demonstrated significantly improved PFS to market-leading pembrolizumab in a large third-party Phase 3 clinical trial. Although checkpoint inhibitors are highly effective in some patients, most patients with solid tumors fail to respond to these therapies. Furthermore, patients who do respond do not always achieve durable responses. With respect to CR-002 and CR-003, regarding ADC development, we are aware of other ADC product candidates in clinical development for solid tumor indications, including, but not limited to, PDL1V (Pfizer), HLX-43 (Henlius), sigvotatug vedotin (Pfizer). Market participants with significant influence over acceptance of new treatments, such as clinicians and third-party payors, may not adopt a biologic that uses cooperative binding qualities for our targeted indications, and we may not be able to convince the medical community and third-party payors to accept and use, or to provide favorable reimbursement for, any programs developed by us or our existing or future collaborators. Serious adverse events, including fatal pulmonary hemorrhage, observed in anti-VEGF inhibitors, such as bevacizumab, may adversely affect our ability to gain market acceptance.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of our product candidates are approved but does not achieve an adequate level of acceptance by such parties, we may not generate or derive sufficient revenue from that product candidate and may not become or remain profitable. Market acceptance of our product candidates will depend on many factors, including factors that are not within our control.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Certain of our programs may compete with our other programs, which could negatively impact our business and reduce our future revenue.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product candidates for the same indication, solid tumors, and may in the future develop our programs for other oncology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patients. In addition, if multiple product candidates are approved for the same indication, they may compete for market share, which could limit our future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intend to conduct clinical trials, initially for our CR-001 program and for future programs, at sites outside the United States, and the FDA may not accept data from trials conducted in such locations.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conducting clinical trials for CR-001 at sites outside of the United States, and expect to conduct one or more of our future clinical trials for CR-002, CR-003, and any other future programs outside the United States. Although the FDA may accept data from clinical trials conducted outside the United States, acceptance of this data is subject to conditions imposed by the FDA. In cases where data from foreign clinical trials are intended to serve as the sole basis for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FDA or any comparable foreign regulatory authority will accept data from trials conducted outside of the United States or the relevant jurisdiction.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Government Regulation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program, CR-001, and other planned programs, CR-002, CR-003 and CR-004, we must demonstrate through lengthy, complex, and expensive preclinical studies and clinical trials that our product candidates are both safe and effective for each targeted indication, or with respect to our product candidates regulated as biologics, that such candidates are safe, pure, and potent for their intended uses.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regulatory approval. The FDA and comparable foreign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candidates could be delayed in receiving, or fail to receive, regulatory approval for many reasons,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the design or implementation of our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or comparable foreign regulatory authorities that a product candidate is safe, pure, potent, or effective for its proposed indication(s);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persuasiveness required by the FDA or comparable foreign regulatory authorities for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serious and unexpected drug-related side effects may be experienced by patients in our clinical trials or by individuals using drugs similar to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may be unable to demonstrate that a product candidate’s clinical and other benefits outweigh its safety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FDA or the applicable foreign regulatory authority may disagree regarding the formulation, labeling, and/or the specifications of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we expect that certain product candidates may be regulated as a combination product that consists of both a biologic and a medical device. Developing and obtaining regulatory approval for combination products can pose unique challenges because they involve components that are regulated under different types of regulatory requirements and potentially by different FDA centers. As a result, such product candidates may raise regulatory, policy and review management challenges.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be able to meet requirements for the chemistry, manufacturing, and control of our programs.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receive approval of its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these intended objectives and/or may lead to delays and additional costs. Additionally, any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product candidates for which we intend to seek approval as biologics may face competition sooner than anticipated.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Patient Protection and Affordable Act, as amended by the Healthcare and Education Reconciliation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reference products in a way that is similar to traditional generic substitution for non-biological products will depend on a number of uncertain marketplace and regulatory factors that are still developing.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 compliance with cGMPs.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regulatory authority discovers previously unknown problems with a product, such as adverse events of unanticipated severity or frequency, or problems with the facilities where the product is manufactured, or if we are unable to comply with applicable regulatory requirements,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refusals to approve pending applications,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instance,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 EU adopted their respective positions on April 10, 2024 and June 4, 2025 and a common position on the text was agreed upon on December 11, 2025, in the context of subsequent inter-institutional trilogue negotiations. The proposed revisions remain to be adopted, and are not expected to become applicable before 2028.</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Current and future U.S. healthcare reform legislation or regulation may increase the difficulty and cost for us to obtain coverage for and commercialize any of our current or future product candidates and may adversely affect the prices we may set.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of our current or future product candidates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March 2010, the Patient Protection and Affordable Care Act, as amended by the Health Care and Education Reconciliation Act of 2010, or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cap on drug manufacturers’ Medicaid drug rebate liability, beginning January 1, 2024. The rebate was previously capped at 100% of a drug’s average manufacturer price.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On August 16, 2022, the Inflation Reduction Act of 2022, or the IRA, was signed into law. Among other things, the IRA (i) directs the Department of Health and Human Services, or HHS to negotiate the price of certain high-expenditure, single-source drugs and biologics covered under Medicare; (ii) imposes rebates under Medicare Part B and Medicare Part D to penalize price increases that outpace inflation; (iii) reduces the out-of-pocket cap for Medicare Part D beneficiaries to $2,000 starting in 2025. The IRA permits the Secretary of HHS to implement many of these provisions through guidance, as opposed to regulation, for the initial years. HHS has and will continue to issue and update guidance as these programs are implemented. These provisions took effect progressively starting in fiscal year 2023. The Centers for Medicare &amp; Medicaid Services, or CMS, published the negotiated prices for the initial ten drugs, which went into effect in 2026, and the subsequent 15 drugs, which will first be effective in 2027, as well as the next 15 drugs that will be subject to negotiation. The implementation of the IRA is currently subject to ongoing litigation that challenges the constitutionality of the IRA’s drug price negotiation program provisions. The outcome of this litigation as well as the effects of the IRA on the pharmaceutical industry cannot yet be fully determined but is likely to be significant. Additional drug pricing proposals could appear in future legislation.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our product candidates,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these existing laws and other healthcare reform measures both at the federal and state level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EU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current or future product candidates, if we obtain regulatory approval;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set a price that we believe is fair for our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coverage and reimbursement approval for a product;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generate revenue and achieve or maintain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amount of taxes that we are required to pay;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of capital.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for which we obtain regulatory approval. Such laws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program such as Medicare and Medicaid. A person or entity does not need to have actual knowledge of the federal Anti-Kickback Statute or specific intent to violate it in order to have committed a violation;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In addition, the government may assert that a claim including items or services resulting from a violation of the federal Anti-Kickback Statute constitutes a false or fraudulent claim for purposes of the federal False Claims Act;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pharmaceutical companies to report information on the pricing of certain drug products; and some state and local laws that require the registration or pharmaceutical sales representatives.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it, our business may be impaired.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successful commercialization of any of our current or future product candidates, if approved, will depend in part on the extent to which governmental authorities and health insurers establish coverage, adequate reimbursement levels and favorable pricing policies.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any of our current or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reimbursement strategy for any approved product candidate. Even if we obtain coverage for a given product by a third-party payor, the resulting reimbursement payment rates may not be adequate or may require co-payments or other cost-sharing that patients find unacceptably high.</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a less expensive competitor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or implement prior authorization or step therapy programs for new or innovative devices or drug therapies before they will reimburse patients who use such therapies, which may be time-consuming or costly for patients and lead to a reduction in revenue. It is difficult to predict at this time what third-party payors will decide with respect to the coverage and reimbursement for any of our current or future product candidates.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any of our current or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00" w:after="180"/>
        <w:jc w:val="left"/>
        <w:rPr/>
      </w:pPr>
      <w:r>
        <w:rPr>
          <w:rFonts w:ascii="Times New Roman;serif" w:hAnsi="Times New Roman;serif"/>
          <w:b w:val="false"/>
          <w:color w:val="000000"/>
          <w:sz w:val="20"/>
        </w:rPr>
        <w:t>pricing pressures in connection with the sale of any of our products due to the trend toward managed healthcare, the increasing influence of health maintenance organizations and additional legislative and regulatory changes. The downward pressure on healthcare costs in general, and prescription drugs, surgical procedures and other treatments in particular, has become very intense. As a result, increasingly high barriers are being erected to the entry of new products. See “Risks Related to Government Regulation—</w:t>
      </w:r>
      <w:r>
        <w:rPr>
          <w:rFonts w:ascii="Times New Roman;serif" w:hAnsi="Times New Roman;serif"/>
          <w:b w:val="false"/>
          <w:i/>
          <w:color w:val="000000"/>
          <w:sz w:val="20"/>
        </w:rPr>
        <w:t>Current and future U.S. healthcare reform legislation or regulation may increase the difficulty and cost for us to obtain coverage for and commercialize any of our current or future product candidates and may adversely affect the prices we may set</w:t>
      </w:r>
      <w:r>
        <w:rPr>
          <w:color w:val="000000"/>
        </w:rPr>
        <w:t xml:space="preserve">” </w:t>
      </w:r>
      <w:r>
        <w:rPr>
          <w:rFonts w:ascii="Times New Roman;serif" w:hAnsi="Times New Roman;serif"/>
          <w:b w:val="false"/>
          <w:color w:val="000000"/>
          <w:sz w:val="20"/>
        </w:rPr>
        <w:t>for additional related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export and import controls, sanctions, embargoes, anti-corruption laws, and anti-money laundering laws and regulations. We can face criminal liability and other serious consequences for violations, which can harm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Governments outside the United States tend to impose strict price controls, which may adversely affect our revenue, if 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member states of the EU (“EU member states”), the pricing of prescription medicinal product is subject to governmental control. EU member states are free to restrict the range of pharmaceutical products for which their national health insurance systems provide reimbursement, and to control the prices and reimbursement levels of pharmaceutical products for human use. In these countries, pricing negotiations with governmental authorities can take considerable time after receipt of regulatory approval for a medicinal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This Health Technology Assessment (“HTA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Brexit could lead to legal uncertainty and potentially divergent national laws and regulations, including those related to the pricing of prescription pharmaceuticals, as the United Kingdom (“UK”) determines which EU laws to replicate or replace. If the UK were to significantly alter its regulations affecting the pricing of prescription pharmaceuticals, we could face significant new costs.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Disruptions at the FDA, the SEC and other government agencies and regulatory authorities caused by funding shortages, changes or reductions in agency personnel, or global health concerns could hinder their ability to hire and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or comparable foreign regulatory authorities may also slow the time necessary for the review and approval of applications for clinical trial or marketing authorization, which would adversely affect our business. For example, in previous years, including in 2018 and 2019 and 2025, the U.S. government shut down and certain regulatory agencies, such as the FDA and the SEC,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and leadership changes, and it remains unclear the degree to which these efforts may limit or otherwise adversely affect the FDA’s ability to conduct routine activities, or otherwise affect our ability to progress development of our product candidates or obtain regulatory approval for our product candidates.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 prolonged government shutdown occurs, or if funding shortages, personnel changes, policy changes or similar factors prevent the FDA or other regulatory authorities from conducting their regular inspections, reviews, or other routine activities, such events could significantly impact the ability of the FDA or other regulatory authorities to timely review and process our regulatory submissions, which could have a material adverse effect on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currently solely own any issued patents or pending patent applications. Therefore, our ability to obtain and protect our patent rights, and protect other proprietary rights, is uncertain, exposing us to the possible loss of competitive advantage.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and will continue to depend, in large part on our ability to obtain and maintain patent protection for our platform technologies, programs, and their uses, as well as our ability to operate without infringing on or violating the proprietary rights of others. Our ability to protect our technologies from unauthorized making, using, selling, offering to sell, or importing by third parties may depend on the extent to which we have rights under valid and enforceable patents that cover these activities. We rely, and will continue to rely, upon a combination of patents, trademarks, trade secret protection, confidentiality agreements, and licensing and collaboration arrangements to protect and expand the intellectual property related to our programs and technologies. While we do not currently solely own any patents or patent applications, we in-license certain patent rights from Paragon pursuant to those certain License Agreements, dated each of April 28, 2025 (the “CR-001 License Agreement”) and November 5, 2025 (the “CR-002 License Agreement”), each by and between us and Paragon (collectively, the “Paragon License Agreements”) relating to certain of our product candidates, and patent rights from Sichuan Kelun-Biotech Biopharmaceutical Co., Ltd. (“Kelun”) pursuant to that certain License and Collaboration Agreement, dated December 2, 2025, by and between us and Kelun relating to CR-003 outside of mainland China, Hong Kong, Macau and Taiwan. Paragon has filed and we, alone and/or jointly with Paragon, have filed or intend to file provisional patent applications directed to antibodies that target PD-1 and VEGF, including, for example, applications covering composition of matter, dosing, pharmaceutical formulations, and methods of using such antibodies, including, but not limited to, CR-001. In addition, Paragon has filed and we, alone and/or jointly with Paragon, intend to file provisional patent applications directed to ADCs, including, for example, applications covering composition of matter, dosing, pharmaceutical formulations, and methods of using such antibodies, including, but not limited to, CR-002. Kelun has filed, and we and Kelun, alone and/or jointly, intend to file patent applications directed to ADCs, including, for example, applications covering composition of matter, dosing, pharmaceutical formulations, and methods of using such antibodies, including, but not limited to, CR-003. However, we or our licensors may not be able to protect our owned or in-licensed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such technologies and discoveries are publicly known or disclosed in countries where we do not have patent protection and/or pending patent applications.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intellectual property portfolio is at an early stage. We do not currently solely own any issued patents or pending patent applications. Our in-licensed or future solely owned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any issued patents that we may license or own covering our programs could be narrowed or found invalid or unenforceable if challenged in court and/or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may be reduced. Thus, the patents that we may own and/or license may not afford us any meaningful competitive advantage.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and will continue to rely, in part on confidentiality agreements and, if applicable, material transfer agreements, consulting agreements, or other similar agreements prior to beginning research and/or disclosing proprietary information with parties, such as collaborators, employees, consultants, outside scientific collaborators, and sponsored researchers and other advisors. We also enter into confidentiality and invention or patent assignment agreements with our employees and consultants under which they are obligated to maintain confidentiality and to assign their inventions to us. These agreements typically limit the rights of the third parties to use or disclose our confidential information, including our trade secrets. These agreements may not effectively prevent disclosure of confidential information and may not provide an adequate remedy in the event of unauthorized disclosure of confidential information. We may need to share our proprietary information, including trade secrets, with current or future business partners, licensors,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disclosed or misappropriated our trade secrets, or securing title to an employee- or consultant-developed invention if a dispute arises, is challenging and the outcome is unpredictable. In addition, courts outside of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enforceability of confidentiality agreements may vary from jurisdiction to jurisdiction. 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Lastly, if our trademarks and trade names are not registered or adequately protected, then we may not be able to build name recognition in our markets of interest and our business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or maintain necessary rights to our programs through acquisitions and in-licenses, our business may be materially harmed.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development programs currently rely, and will continue to rely, on intellectual property rights in-licensed from Paragon and Kelun under each of the Paragon License Agreements and Kelun License Agreement, respectively, and may in the future require the use of proprietary rights held by third parties, the growth of our business may depend in part on our ability to acquire, in-license, or use these third-party proprietary rights. We may in the future be unable to acquire or in-license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commercially reasonable terms or at all. If we are unable to successfully obtain rights to required third-party intellectual property rights or maintain the existing intellectual property rights we do obtain, our ability to commercialize any of our targeted therapeutics, if approved, would likely be delayed, or we may have to abandon development of the relevant program, which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current or future in-licensed patent families were or may be drafted, filed, and prosecuted by our current or future licensors, including Paragon and Kelun, and even where we now control the right to prosecution of certain in-licensed patent families, we are and may in the future be required to solicit input and consider comments from Paragon, Kelun or other future licensors. Additionally, while we have obtained or intend to obtain the right to control the prosecution, defense, maintenance, and enforcement of certain patents relating to our programs, there may be times when the filing and prosecution activities for patents and patent applications relating to our programs are solely or substantially controlled by our future licensors or collaboration partners. If we, Paragon, Kelun or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selling, and importing competing products. In addition, even if patents are issued from patent applications prosecuted by our licensors, our licensors may determine not to pursue litigation against third parties that are infringing these patents or may pursue such litigation less aggressively than we would. In addition, even where we are granted the right to control patent prosecution of patents and patent applications we have licensed to and from third parties, we may still be adversely affected or prejudiced by actions or inactions of our licensees, our current or future licensors and their counsel that took place prior to the date upon which we assumed control over patent prosecution.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or future licensors, including Paragon and Kelun, may rely on third-party consultants or collaborators or on funds from third parties such that our current or future licensors are not the sole and exclusive owners of the patents we in-license. If other third parties have ownership rights to our current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we may be unable to obtain licenses at a reasonable cost or on reasonable terms, if at all. Even if we are able to obtain a license, it may be non-exclusive, including with respect to the use, field, or territory of the licensed intellectual property,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Disputes may arise between us and our current or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or future licensors or partners; and the priority of invention of patented technology. If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or our current or future licensors breach the terms of our license agreements, such breach may have a material adverse effect on our business and the commercialization efforts for our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current collaboration with Kelun and any collaboration arrangements that we may enter into in the future may not be successful, which could adversely affect our ability to develop and commercialize our products.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or future collaborations, including our current collaboration with Kelun,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our product candidates;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disputes may arise between us and a collaborator that cause the delay or termination of the research, development or commercialization of our current or future products or that results in costly litigation or arbitration that diverts management attention and resources;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collaborator with marketing, manufacturing and distribution rights to one or more products may not commit sufficient resources to or otherwise not perform satisfactorily in carrying out these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could grant exclusive rights to our collaborators that would prevent us from collaborating with others;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collaborations may be terminated, and, if terminated, may result in a need for additional capital to pursue further development or commercialization of the applicable current or future products or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collaborator’s sales and marketing activities or other operations may not be in compliance with applicable laws resulting in civil or criminal proceedings.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intellectual property landscape in the biotechnology industry is rapidly evolving and interdisciplinary, it is difficult to conclusively assess our freedom to operate and guarantee that we can operate without unintentionally infringing on or violating third-party rights. If certain of our product candidates are ultimately granted regulatory approval, patent rights held by third parties, if found to be valid and enforceable, could be alleged to render one or more of our product candidates, or our actions relating thereto, infringing. If a third party successfully brings a claim against us, we may be required to pay substantial damages, be enjoined and potentially forced to abandon any affected product candidate and/or seek a license from the patent holder, which may include ongoing royalty obligations.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our current or future owned or in-licensed patent applications and patents, if filed and issued, will not be challenged by others, whether in the course of litigation or in agencies like the USPTO or foreign administrative bodies.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or otherwise violate our current or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and/or that our patents are invalid and/or unenforceable.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w:t>
      </w:r>
    </w:p>
    <w:p>
      <w:pPr>
        <w:pStyle w:val="TextBody"/>
        <w:bidi w:val="0"/>
        <w:spacing w:lineRule="auto" w:line="288" w:before="0" w:after="180"/>
        <w:jc w:val="left"/>
        <w:rPr/>
      </w:pPr>
      <w:r>
        <w:rPr>
          <w:rFonts w:ascii="Times New Roman;serif" w:hAnsi="Times New Roman;serif"/>
          <w:b w:val="false"/>
          <w:color w:val="000000"/>
          <w:sz w:val="20"/>
        </w:rPr>
        <w:t xml:space="preserve">Further, we may be required to protect our future patents, if filed and issued, through procedures created to challenge the validity of a patent before administrative bodies in the United States such as the USPTO or abroad. Such mechanisms include re-examination, post grant review and equivalent proceedings in foreign jurisdictions, </w:t>
      </w:r>
      <w:r>
        <w:rPr>
          <w:rFonts w:ascii="Times New Roman;serif" w:hAnsi="Times New Roman;serif"/>
          <w:b w:val="false"/>
          <w:i/>
          <w:color w:val="000000"/>
          <w:sz w:val="20"/>
        </w:rPr>
        <w:t>e.g.</w:t>
      </w:r>
      <w:r>
        <w:rPr>
          <w:rFonts w:ascii="Times New Roman;serif" w:hAnsi="Times New Roman;serif"/>
          <w:b w:val="false"/>
          <w:color w:val="000000"/>
          <w:sz w:val="20"/>
        </w:rPr>
        <w:t xml:space="preserve">, opposition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our programs are found to infringe the intellectual property rights of third parties, these third parties may assert infringement claims against our current or future licensors or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is common in the biotechnology industry, in addition to our employees, we engage the service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to patent laws in the United States and other jurisdictions could diminish the value of patents in general, thereby impairing our ability to protect our products.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do not currently own or in-license any granted patents, if we obtain such patents in the future, changes in either the patent laws or interpretation of patent laws in the United States, including patent reform legislation such as the Leahy-Smith Act could increase the uncertainties and costs surrounding the prosecution of our owned and in-licensed patent applications, if any, and the maintenance, enforcement, or defense of our owned and in-licensed issued patents, if any.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if any, and the enforcement or defense of our issued patents, if any, all of which could have a material adverse effect on our business, financial condition, results of operations, and prospects. Additionally,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w:t>
      </w:r>
    </w:p>
    <w:p>
      <w:pPr>
        <w:pStyle w:val="TextBody"/>
        <w:bidi w:val="0"/>
        <w:spacing w:lineRule="auto" w:line="288" w:before="0" w:after="180"/>
        <w:jc w:val="left"/>
        <w:rPr/>
      </w:pPr>
      <w:r>
        <w:rPr>
          <w:rFonts w:ascii="Times New Roman;serif" w:hAnsi="Times New Roman;serif"/>
          <w:b w:val="false"/>
          <w:color w:val="000000"/>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serif" w:hAnsi="Times New Roman;serif"/>
          <w:b w:val="false"/>
          <w:i/>
          <w:color w:val="000000"/>
          <w:sz w:val="20"/>
        </w:rPr>
        <w:t xml:space="preserve">Amgen, Inc. v. Sanofi </w:t>
      </w:r>
      <w:r>
        <w:rPr>
          <w:rFonts w:ascii="Times New Roman;serif" w:hAnsi="Times New Roman;serif"/>
          <w:b w:val="false"/>
          <w:color w:val="000000"/>
          <w:sz w:val="20"/>
        </w:rPr>
        <w:t xml:space="preserve">(Amgen) recently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serif" w:hAnsi="Times New Roman;serif"/>
          <w:b w:val="false"/>
          <w:i/>
          <w:color w:val="000000"/>
          <w:sz w:val="20"/>
        </w:rPr>
        <w:t>Amgen</w:t>
      </w:r>
      <w:r>
        <w:rPr>
          <w:color w:val="000000"/>
        </w:rPr>
        <w:t xml:space="preserve"> </w:t>
      </w:r>
      <w:r>
        <w:rPr>
          <w:rFonts w:ascii="Times New Roman;serif" w:hAnsi="Times New Roman;serif"/>
          <w:b w:val="false"/>
          <w:color w:val="000000"/>
          <w:sz w:val="20"/>
        </w:rPr>
        <w:t>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 European Unified Patent Court (“UPC”) entered into force on June 1, 2023. The UPC is a common patent court that hears patent infringement and revocation proceedings effective for EU Member States. The broad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geographic reach of the UPC could enable third parties to seek revocation of any of our future owned or in-licensed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or our current or future licensors may decide to opt out from the UPC any future European patent applications that we or our current or future licensors may file and any patents we or such licensors may obtain. If certain formalities and requirements are not met, however, such European patents and patent applications could be challenged for non-compliance and brought under the jurisdiction of the UPC. We cannot be certain that any of our future owned or in-licensed European patents and patent applications will avoid falling under the jurisdiction of the UPC, even if we or our current or future licensors decide to opt out of the UPC.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our current or future owned or in-licensed patents and patent applications covering our programs, our competitive position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owned or in-licensed issued patents or our current or future owned or in-licensed pending applications, if filed, or that we were the first to invent the technology. Our competitors may have filed, and may in the future file, patent applications covering products or technology similar to ours.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such patent application may have priority over our current or future owned or in-licensed patent applications or patents, if filed and issued, which could require us to obtain rights to issued patents covering such technologies.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claims challenging the inventorship or ownership of our patents and other intellectual property.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future owned or in-licensed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the competitive position of our product candidates for an adequate amount of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if all maintenance fees are timely paid, the natural expiration of a patent is generally 20 years from its earliest United States non-provisional filing date or international Patent Cooperation Treaty Filing. The patent term of a U.S. patent may be lengthened by patent term adjustment, which compensates a patentee for administrative delays by the USPTO in granting a patent, or may be shortened if a patent is terminally disclaimed over an earlier-filed patent.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Drug Price Competition and Patent Term Restoration Act of 1984 permits a Patent Term Extension (“PTE”) of up to five years beyond the normal expiration of the patent to compensate patent owners for loss of an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 - 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anticipate prosecuting patents, and we likewise anticipate applying for such extensions.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granting of a PTE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In addition, to the extent we wish to pursue a PTE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technology we currently license from Paragon and Kelun and any future technology we may license from various third parties in the future, may be subject to retained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and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we seek to obtain certain restrictions on our current or future licensors’ abilities to develop products that could be competitive with ours, these restrictions may not prevent the possible future license or development by our current or future licensors, including Paragon or Kelun, of certain technology that could lead to product candidates competitive with ours. This could have a material adverse effect on our competitive position,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protect the confidentiality of our trade secrets and other proprietary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of our proprietary know-how, trade secrets, and other confidential information, including product candidate sequence information, manufacturing processes, formulation technologies, dosing regimens, analytical techniques, and other technical information that provides us with a competitive advantage. We rely, and will continue to rely, on confidentiality agreements and other contractual protections with employees, consultants, collaborators, contract manufacturers, and other third parties to protect our trade secrets and proprietary information. However, these agreements may not effectively prevent unauthorized disclosure or use of our confidential information and may not provide an adequate remedy in the event of such disclosure or use. Despite our efforts to protect our trade secrets and proprietary information, unauthorized parties may attempt to obtain, copy, or use our proprietary technologies and information through various means, including cyber incidents, reverse engineering, physical breaches of our facilities, or misappropriation by current or former employees, consultants, advisors, contractors, or other third parties with whom we share our proprietary information. The risk of unauthorized disclosure or misappropriation is heightened given the number of third parties with whom we must share confidential information in connection with clinical trials, regulatory submissions, manufacturing arrangements, and strategic collaborations. For example, our contract manufacturing organizations and clinical trial sites must have access to certain proprietary manufacturing processes, formulation information, and clinical data to perform their contracted services. Any disclosure, intentional or unintentional, by our employees, consultants, or collaborators, or any misappropriation by third parties, of our trade secret or proprietary information could enable competitors to duplicate or surpass our products, potentially harming our competitive position. Trade secret protection may also be inadequate if we are unable to demonstrate that information qualifies for protection under the Defend Trade Secrets Act of 2016 or state or local laws, if we fail to take reasonable measures to maintain its secrecy. If we are unable to maintain the confidentiality of our proprietary technology, know-how, and other confidential information, our ability to obtain patent protection or to protect our proprietary information may be jeopardized, competitors may be able to use our technologies to develop competing products, and our business, financial condition, and results of operations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BPCIA litigation is complex, costly, and unpredictable, and unfavorable outcomes could result in the invalidity or unenforceability of our patents.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Biologics Price Competition and Innovation Act of 2009 (BPCIA) established an abbreviated regulatory pathway for biosimilar product candidates, along with procedures for patent disputes between reference product sponsors and biosimilar applicants. Under the BPCIA, biosimilar applicants may submit an abbreviated biologics license application seeking approval to market biosimilar versions of our biological products. The BPCIA provides for an information exchange process known as the “patent dance” designed to identify relevant patents and facilitate early resolution of patent disputes; however, participation in the “patent dance” is not required by biosimilar applicants. The BPCIA patent litigation framework is relatively new, and judicial precedent interpreting its provisions continues to evolve, creating uncertainty. As soon as four (4) years after approval of a product by the FDA, we may be subjected to BPCIA litigation brought by biosimilar applicants and forced to defend our intellectual property rights covering that product, and such litigation is likely to be expensive, time-consuming and complex. Competitors may challenge our patents by filing abbreviated biologics license applications and declining to fully participate in the patent dance, forcing us to file patent infringement lawsuits on short timelines or potentially forfeiting our ability to assert certain patents. The BPCIA framework allows biosimilar applicants to control certain aspects of the litigation process, including the timing of their notice of commercial marketing, which triggers additional patent enforcement opportunities but may result in sequential waves of litigation extending over several years. Patent litigation under the BPCIA may involve patents covering various aspects of our products, including composition of matter, formulations, manufacturing processes, and methods of use, and we may face difficulty in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demonstrating infringement of certain types of patents. If we are unsuccessful in such litigation or if courts invalidate, hold unenforceable, or narrowly construe our patents, biosimilar competitors could enter the market, which could significantly harm our business. Even if we are successful in patent litigation, the length and expense of such proceedings could divert management attention and financial resources from our business operations. We may face biosimilar competition even if our patents are held to be valid and enforceable and have additional remaining terms, particularly where competitors successfully design around our patents or demonstrate that their products do not infringe. Our inability to adequately protect patents covering our products from biosimilar competition could materially and adversely affect our business.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rely on licensing arrangements with Paragon and Kelun under the Paragon License Agreement and Kelun License Agreement and may in the future rely on other intellectual property licensed from third parties. If we are unable to maintain our current collaborations or licensing arrangements, or if our collaborations or licensing arrangements are not successful, our business could be negatively impacted.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current and future licensing arrangements with Paragon and Kelun under the Paragon License Agreements and Kelun License Agreement for intellectual property rights underlying our current product candidates, and may in the future rely on licensing arrangements with other third parties for rights to a substantial portion of our discovery capabilities and product candidates, including for CR-001 and CR-002.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or future collaborations or licensing arrangements may not be successful, and any success will depend heavily on the efforts and activities of such collaborators or licensors. If any of our current or future collaborators or licensors experiences delays in performance of, or fails to perform, its obligations under their agreement with us, disagrees with our interpretation of the terms of such agreement, or terminates their agreement with us, our programs could be adversely affected. If we fail to comply with any of the obligations under our current or future collaborations or license agreements, including payment terms and diligence terms, such as requirements to use commercially reasonable efforts to develop and commercialize products covered by the licensed intellectual property rights in our respective territory, our current or future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current or future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our current or future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plan to evaluate additional opportunities to enhance our capabilities and expand our development pipeline or provide development or commercialization capabilities that complement ours. We may not realize the benefits of such collaborations or licensing arrangements. Any of these relationships may require us to incur non-recurring and other charges, increase our near and long-term expenditures, issue securities that dilute our existing shareholders, or disrupt our management and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any marketing applications we may submit. We cannot assure you that upon inspection by a given regulatory authority, such regulatory authority will determine that any of our clinical trials comply with GCP regulations. In addition, our clinical trials must be conducted with products produced under cGMP regulations or similar foreign requirements.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application we submit. Any such delay or rejection could prevent us from commercializing our product candidates.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third parties who operate in China, which may expose us to additional risks.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currently rely on foreign CROs and CMOs, including WuXi Biologics (Hong Kong) Limited (“WuXi”) for CR-001, CR-002, and CR-003, for formulation and manufacturing of our stage 1 clinical trial materials, and will likely continue to rely on foreign CROs and CMOs in the future. Kelun is also based in China. On December 18, 2025, President Trump signed into law the National Defense Authorization Act of 2026 (“NDAA”), which includes § 851 often referred to as “the BIOSECURE Act”. Under the BIOSECURE Act, U.S. government agencies cannot (1) buy or obtain biotechnology equipment or services provided by a “biotechnology company of concern” (“BCC”); (2) enter into, extend, or renew a contract with any entity using biotechnology equipment or services provided by a BCC; or (3) expend loan or grant funds for biotechnology equipment or services provided by a BCC, whether directly or through a loan or grant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recipient. The BIOSECURE Act does not bar a U.S. company from all federal contracts or grants simply because it does business with a BCC. The restriction applies only when a federal contract or grant would procure covered biotechnology equipment or services—directly or indirectly—from a designated company. While WuXi is not currently listed as a BCC, earlier BIOSECURE drafts explicitly named it as a BCC. Additionally, on December 18, 2025, the chairmen of multiple Senate and House committees, including the House Select Committee on China, sent a letter to the Department of Defense recommending that WuXi be added to the Department of Defense’s 1260H list, which would make WuXi a BCC.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However, there are certain safe harbors, waivers, and exceptions to the BIOSECURE Act. The BIOSECURE Act provides a five-year safe harbor for existing contracts with companies later designated as BCCs. The five-year window begins when the Federal Acquisition Regulations (“FAR”) are updated to implement the Act’s requirements, allowing entities five years to fulfill current contracts, transition to alternative suppliers, and wind down business with BCCs. Further, “biotechnology equipment or services” excludes items previously, but no longer, produced by BCCs. Therefore, an entity may retain and continue to use equipment or technology produced by a BCC prior to the BIOSECURE Act’s enactment. Additionally, the Act allows drug manufacturers to remain eligible for the Medicare and Medicaid Drug Part B Rebate Programs if the Department of Veteran Affairs determines that the BIOSECURE Act restrictions are the only reason the drug manufacturer cannot enter the VA master agreement required by the Veterans Health Care Act of 1992 (38 U.S.C. § 8126). Finally, the head of an executive agency may waive the Act’s restrictions for up to 365 days, with approval of the Director of the OMB. This waiver can be renewed once for an additional 180 days.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CMOs may be subject to U.S. legislation, including the BIOSECURE Act,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 companies. Certain of these tariffs have gone into effect. In February 2026, the United States Supreme Court ruled that the use of the International Emergency Economic Powers Act (“IEEPA”) to impose tariffs was not authorized by Congress, invalidating a significant portion of tariffs that had been in effect since April 2025. While the ruling struck down the IEEPA-based tariffs, it does not prevent the administration from imposing tariffs using other legal authorities, and the administration has indicated its intention to pursue alternative statutory mechanisms to reinstate or impose new tariffs. There remains substantial uncertainty regarding future tariff rates and the countries and products to which such tariffs would apply. To the extent tariffs are applicable to the material we import from China and other countries, our financial condition could be adversely affected.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any of our China-based collaborators or vendors—including WuXi—are designated a BCC under the BIOSECURE Act, our operations and financial condition could be adversely affected by delays or higher costs stemming from U.S. federal restrictions on contracts, grants, and loans involving BCCs, as well as other applicable foreign regulatory requirements. In addition, while we have established relationships with CROs and CMOs outside of China, moving to those suppliers in the event of a geopolitical instability affecting our collaborators in China could introduce delays into our development programs.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rely and expect to rely in the future on the use of manufacturing sites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CR-001 and CR-002 programs, and expect to have a sole source relationship for the supply of the CR-003 program. If there should be any disruption in such supply arrangements, including any adverse events affecting our sole supplier, it could have a negative effect on the clinical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our CMOs may experience manufacturing difficulties due to resource constraints, supply chain issues,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Employee Matters, Managing Growth and Other Risks Related to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biotechnology company with a limited operating history, and, as of June 30, 2026, we had 69 full-time employees.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future growth may depend, in part, on our ability to operate in foreign markets, where we would be subject to additional regulatory burdens and other risks and uncertainties.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and/or negligent conduct or disclosure of unauthorized activities to us that violate: (i) the laws and regulations of the FDA and other comparable foreign regulatory requirements, including those laws that require the reporting of true, complete and accurate information to such authorities, (ii) manufacturing standards, including cGMP requirements or similar foreign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internal information technology systems, or those of any of our CROs, manufacturers, other contractors or consultants,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be unable to detect, investigate, remediate or recover from future attacks or incidents, or to avoid a material adverse impact to our information technology systems, confidential information or business. 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attack, breakdown or other damage or service interruptions, misconfigurations, “bugs” or other vulnerabilities, malicious code, system malfunction, natural disasters, terrorism, war, telecommunication and electrical failures, hacking, cyberattacks, other social engineering / phishing schemes, denial or degradation of service attacks and sophisticated nation-state and nation-state-supported actors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Furthermore, any integration of artificial intelligence in our or any third party’s operations, products or services is expected to pose new or unknown cybersecurity risks and challenges.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including the ongoing conflict in Iran,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w:t>
      </w:r>
    </w:p>
    <w:p>
      <w:pPr>
        <w:pStyle w:val="TextBody"/>
        <w:bidi w:val="0"/>
        <w:spacing w:lineRule="auto" w:line="288" w:before="0" w:after="180"/>
        <w:jc w:val="left"/>
        <w:rPr/>
      </w:pPr>
      <w:r>
        <w:rPr>
          <w:rFonts w:ascii="Times New Roman;serif" w:hAnsi="Times New Roman;serif"/>
          <w:b w:val="false"/>
          <w:color w:val="000000"/>
          <w:sz w:val="24"/>
        </w:rPr>
        <w:t>t</w:t>
      </w:r>
      <w:r>
        <w:rPr>
          <w:rFonts w:ascii="Times New Roman;serif" w:hAnsi="Times New Roman;serif"/>
          <w:b w:val="false"/>
          <w:color w:val="000000"/>
          <w:sz w:val="20"/>
        </w:rPr>
        <w:t xml:space="preserve">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members of our workforce are remote, which may create additional risks for our information technology systems and data because our employees who work remotely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our measures and those of third-parties will be effective in protecting our systems, networks and internal information. We may be unable in the future to detect vulnerabilities in our information technology systems because such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service providers and technologies to operate critical business systems to process internal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it,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third party upon whom we rely) experiences a security incident or is perceived to have experienced a security incident, we may experience adverse consequences, such as government enforcement actions (for example, investigations, fines, penalties, audits, and inspections); additional reporting requirements and/or oversight; restrictions on processing internal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may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have a material adverse effect on the success of our business.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shareholders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provisions that allow for the immediate expensing of domestic U.S. research and development expenses, a general requirement to reduce the deduction for research and development expense by any research credit taken, and other changes to the U.S. taxation of profits derived from foreign operations.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acquire businesses or products, or form strategic alliances, in the future, and may not realize the benefits of such 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could have an adverse effect on our ability to pay our operational expenses or make other payments, which could adversely affect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Owning Our Ordinary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Preferred directors elected by the holders of our Series A Preferred Shares have the ability to control or significantly influence all matters submitted to our board of directors for approval.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Designation of Preferences, Rights and Limitations of the Series A Non-Voting Convertible Preferred Shares (the “Series A Certificate of Designation”), at all times when at least 30% of the originally issued Series A Preferred Shares remains issued and outstanding: (i) the holders of our Series A Preferred Shares, exclusively and voting together as a separate class on an as-converted to ordinary shares basis, are entitled to elect two preferred directors (the “Preferred Directors”); and (ii) the holders of our ordinary shares and of any other class or series of voting shares (including our Series A Preferred Shares), exclusively and voting together as a single class on an as-converted to ordinary shares basis, are entitled to elect the balance of the total number of directors of our board. Each Preferred Director is entitled to three votes on each matter presented to our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the Merger, Peter Harwin and Jonathan Violin were elected as the two Preferred Directors by the holders of our Series A Preferred Shares. These two directors, in the aggregate, have six votes on each matter presented to the board of directors, representing 60% of the total votes of the board. As a result, these two Preferred Directors are able to control or significantly influence all matters submitted to our board of directors for approval, including business plans and policies and the appointment and removal of our officers. The holders of our Series A Preferred Shares thereby have influence with respect to the composition of our board of directors and, to the extent they influence the actions of the Preferred Directors, if at all, actions of our board of directors. An affiliate of Fairmount is the sole holder of our Series A Preferred Shares. Mr. Harwin is a Managing Member at Fairmount, and Dr. Violin was previously a Venture Partner at Fairmount.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decision to enter into or amend any Paragon Option Agreement (or similar agreements) or license agreement with Paragon is subject to the approval of our board of directors. As noted above, our board of directors includes two Preferred Directors that are affiliated with and elected by Fairmount. As a result, Fairmount may exert influence on the decisions of our board of directors and management, including as it relates to the Paragon Option Agreements and decisions to exercise options or enter into license agreements thereunder, which interests may differ from the interests of our shareholders given Fairmount’s interest in both us and Paragon, and indirect interest in Parascent. All directors of our board of directors owe fiduciary duties pursuant to Cayman Islands law, and are expected to comply with their respective fiduciary duties under Cayman Islands law relevant to related party transactions. In addition, we have adopted a related party transaction approval policy pursuant to which the Audit Committee of our board of directors is responsible for the review, consideration, and approval or ratification of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governed by Cayman Islands law, and certain provisions of our Articles of Association have anti-takeover implications.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organizational documents are governed by Cayman Islands law, and certain provisions in our Articles of Association may discourage, delay, or prevent a merger, acquisition, or other change in control of the company that shareholders may consider favorable, including transactions in which our ordinary shareholders might otherwise receive a premium price for their ordinary shares. These provisions could also limit the price that investors might be willing to pay in the future for our ordinary shares, thereby depressing the market price of our ordinary shares. In addition, because our board of directors is responsible for appointing the members of our management team, these provisions may frustrate or prevent any attempts by any shareholders to replace or remove our current management by making it more difficult for shareholders to replace members of our board of directors. Among other things, these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a classified board of directors such that not all members of our board of directors are elected at one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allow the authorized number of directors to be changed only by resolution of our board of directors, subject to the terms of the Certificate of Designation of our Series A Preferred Shares (the “Certificate of Designation”);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 the manner in which shareholders can remove directors from our board of directors;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advance notice requirements for nominations for election to the board of directors or for proposing matters that can be acted on at shareholder meetings;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 who may call a general meeting of shareholders;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the board of directors to issue preferred shares without shareholder approval, which could be used to institute a “poison pill” that would work to dilute the share ownership of a potential hostile acquirer, effectively preventing acquisitions that have not been approved by our board of directors;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require a special resolution passed by the affirmative vote of not less than two-thirds of the votes cast at a general meeting to amend provisions of the Articles of Association.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Certificate of Designation relating to our Series A Preferred Shares may delay or prevent a change in control. At any time while at least 30% of the originally issued Series A Preferred Shares remain issued and outstanding, we may not consummate a Fundamental Transaction (as defined in the Certificate of Designation) or any merger or consolidation with or into another entity or any share sale to, or other business combination in which our shareholders immediately before such transaction do not hold at least a majority of the share capital immediately after such transaction, without the affirmative vote of the Preferred Directors, acting together, or a simple majority of the then issued and outstanding Series A Preferred Shares. This provision of the Certificate of Designation may make it more difficult for us to enter into any of the aforementioned transactions, even potential change of control transactions that could offer a premium over market value to the ordinary shareholders, as it would require the separate consent of the Preferred Directors, acting together, or a simple majority of the issued and outstanding Series A Preferred Shares.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Articles of Association designate the courts of the Cayman Islands as the sole and exclusive forum for certain types of actions and proceedings that may be initiated by our shareholders, which could limit your ability to obtain a favorable judicial forum for disputes with us or our directors, officers or other employees.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Articles of Association provide that, unless we consent in writing to the selection of an alternative forum, the courts of the Cayman Islands shall have exclusive jurisdiction over any claim or dispute arising out of or in connection with our Articles of Association or otherwise related in any way to each shareholder’s shareholding in us, including, but not limited to: (i) any derivative action or proceeding brought on behalf of us; (ii) any action asserting a claim of breach of any fiduciary or other duty owed by any of our current or former directors, officers or other employees to us or our shareholders; (iii) any action asserting a claim arising pursuant to any provision of the Companies Act or our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Articles of Association does not apply to actions or suits brought to enforce any liability or duty created by the Securities Act of 1933, as amended, the Securities Exchange Act of 1934, or any claim for which the federal district courts of the United States of America are, as a matter of the laws of the United States of America, the sole and exclusive forum for determination of such a claim.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are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our Articles of Association to be inapplicable or unenforceable in an action, we may incur additional costs associated with resolving the dispute in other jurisdictions, which could have an adverse effect on our business and financial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shares by existing shareholders, including any shares issuable upon exercise of any pre-funded warrants, could cause our share price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our shareholders sell, or indicate an intention to sell, substantial amounts of our ordinary shares, including shares issuable upon exercise of our pre-funded warrants, in the public market after legal restrictions on resale lapse, the trading price of our ordinary shares could decline. In addition, our ordinary shares that are subject to our outstanding options will become eligible for sale in the public market to the extent permitted by the provisions of various vesting agreements and Rules 144 and 701 under the Securities Act.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anticipate that we will pay any cash dividends in the foreseeable future.</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anticipate that we will pay any cash dividends in the foreseeable future. The current expectation is that we will retain our future earnings, if any, to fund the development and growth of our business. As a result, capital appreciation, if any, of our ordinary shares will be your sole source of gain, if any, for the foreseeable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executive officers, directors, and principal shareholders have the ability to control or significantly influence all matters submitted to our shareholders for approval.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executive officers, directors, and principal shareholders beneficially own a significant percentage of our outstanding ordinary shares. As a result, if these shareholders were to choose to act together, they would be able to control or significantly influence all matters submitted to our shareholders for approval, as well as our management and affairs. For example, these shareholders,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shareholders may desire.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equity research analysts do not publish research or reports, or publish unfavorable research or reports about us, our business or our market, our share price and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ordinary shares will be influenced by the research and reports that equity research analysts publish about us and our business. Equity research analysts may elect to not provide research coverage of our ordinary shares, and such lack of research coverage may adversely affect the market price of our ordinary shares. If we do have equity research analyst coverage, we will not have any control over the analysts or the content and opinions included in their reports. The price of our ordinary shares could decline if one or more equity research analysts downgrade our shares or issue other unfavorable commentary or research. If one or more equity research analysts ceases coverage of us or fails to publish reports on us regularly, demand for our ordinary shares could decrease, which in turn could cause our share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Net Operating Loss (“NOL”) carryforwards and other tax attributes may be limited, including as a result of the Merger.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incurred losses during our history, and we do not expect to become profitable in the near future and may never achieve profitability. As of December 31, 2025, we had federal and state NOL carryforwards of approximately $46.6 million and $37.5 million, respectively. The federal net operating losses may be carried forward indefinitely, but the deductibility of such NOL carryforwards is limited to 80% of taxable income. The state net operating losses expire at various dates beginning in 2044. It is uncertain if and to what extent various states will conform to federal law. As of December 31, 2025, we had federal and state research and development tax credit carryforwards of approximately $1.9 million and $0.8 million, respectively, which expire at various dates beginning in 2044. In addition, under Sections 382 and 383 of the Internal Revenue Code of 1986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shares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competition, physician choice, or treatment guidelines, we may not generate significant revenue from sales of such products, even if approved.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exposed to costly and damaging liability claims, either when testing a product candidate in the clinic or at the commercial stage, and our product liability insurance may not cover all damages from such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have obtained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Litigation costs and the outcome of litigation could have a material adverse effect on our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factors outside of our control, including, but not limited to, economic downturns, inflation, increases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factors may negatively affect our operations and the market price of our ordinary shares, including, but not limited to, economic downturns, inflation, increases in interest rates, natural disasters, public health crises, political crises, geopolitical events, or other macroeconomic conditions. 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 areas), tighter credit, fluctuating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In 2025, the United States announced reciprocal tariffs on a variety of countries and products. In February 2026, the United States Supreme Court invalidated a significant portion of tariffs that had been in effect since April 2025 based on the International Emergency Economic Powers Act (IEEPA). The ruling has created substantial uncertainty regarding the tariff landscape, including the method and timing of any refunds to previously collected tariffs and any imposition of new or similar tariffs under alternative statutory mechanisms.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in Iran and elsewhere in the Middle East and between Russia and Ukraine as well as rising tensions with China have created extreme volatility in the global capital markets and may have further global economic consequences, including disruptions of the global supply chain. For example, trade policies and geopolitical disputes (including as a result of China-Taiwan relations) and other international conflicts can result in tariffs, sanctions, and other measures that restrict international trade, and can materially adversely affect our business, particularly if these measures occur in regions where we source our components or raw materials. In addition, </w:t>
      </w: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tensions between the United States and China have led to a series of tariffs being imposed by the United States on imports from China mainland, as well as other business restrictions. Tariffs increase the costs of the components and raw materials we source. Countries may also adopt other measures, such as controls on imports or exports of goods, technology, or data, that could adversely impact our operations and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Moreover, fires and other natural disasters may increase in frequency and severity over time due to climate change. If these earthquakes, fires, other natural disasters and similar unforeseen events beyond our control were to occur, it may be difficult or, in certain cases, impossible for us to continue our business for a substantial period of time. If such an event were to affect our supply chain, it could have a material adverse effect on our ability to initiate or expand our clinical trials, our development plans and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sustainability or environmental, social and corporate governance (“ESG”) matters or our reporting of such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investors, employees, collaborators, and other stakeholders are focused on sustainability and ESG matters. Moreover, certain governmental authorities have proposed or adopted, and may continue to propose or adopt, certain mandated ESG reporting requirements, which, to the extent adopted, could significantly increase our compliance and reporting costs. In parallel, anti-ESG sentiment has gained momentum in the United States and in other jurisdictions, with the U.S. federal government and several states having enacted or proposed “anti-ESG” policies or legislation. We may be perceived to not be properly balancing these conflicting demands with respect to ESG matters, to be not acting responsibly in connection with these matters or, on the other hand, we may be criticized or perceived as not prioritizing returns to our shareholders by those who criticize a company’s focus on ESG matters, either of which could negatively impact us and adversely affect the price of our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 During the quarter ended June 30, 2026, no director or officer (as defined in Rule 16a-1(f)) adopted or terminated any Rule 10b5-1 trading arrangement and/or non-Rule 10b5-1 trading arrangement (in each case,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exhibits filed or furnished as part of this Quarterly Report are set forth below.</w:t>
      </w:r>
    </w:p>
    <w:p>
      <w:pPr>
        <w:pStyle w:val="TextBody"/>
        <w:bidi w:val="0"/>
        <w:spacing w:lineRule="auto" w:line="288" w:before="0" w:after="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5"/>
        <w:gridCol w:w="242"/>
        <w:gridCol w:w="244"/>
        <w:gridCol w:w="2381"/>
        <w:gridCol w:w="2381"/>
        <w:gridCol w:w="2401"/>
        <w:gridCol w:w="170"/>
        <w:gridCol w:w="170"/>
        <w:gridCol w:w="171"/>
        <w:gridCol w:w="210"/>
        <w:gridCol w:w="210"/>
        <w:gridCol w:w="211"/>
        <w:gridCol w:w="398"/>
        <w:gridCol w:w="347"/>
        <w:gridCol w:w="39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Agreement and Plan of Merger and Reorganization, dated as of October 28, 2024, by and among GlycoMimetics, Inc., Gemini Merger Sub Corp., Gemini Merger Sub II, LLC, and Crescent Biopharma,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2.1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October 29, 2024</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Amendment No. 1 to Agreement and Plan of Merger and Reorganization, dated as of February 14, 2025</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10.1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February 14,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Amendment No. 2 to Agreement and Plan of Merger and Reorganization, dated as of April 28, 2025, by and among GlycoMimetics, Inc., Gemini Merger Sub Corp., Gemini Merger Sub II, LLC, and Crescent Biopharma, Inc.</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10.1</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April 29,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Memorandum and Articles of Association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3.4</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June 18,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80"/>
                  <w:sz w:val="20"/>
                  <w:u w:val="single"/>
                </w:rPr>
                <w:t>Certificate of Designation of Preferences, Rights and Limitations of Series A Non-Voting Convertible Preferred S</w:t>
              </w:r>
            </w:hyperlink>
            <w:hyperlink r:id="rId8">
              <w:r>
                <w:rPr>
                  <w:rStyle w:val="InternetLink"/>
                  <w:rFonts w:ascii="Times New Roman;serif" w:hAnsi="Times New Roman;serif"/>
                  <w:b w:val="false"/>
                  <w:color w:val="000080"/>
                  <w:sz w:val="20"/>
                  <w:u w:val="single"/>
                </w:rPr>
                <w:t>hares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8-K</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3.6</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June 18, 2025</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Certification of the Principal Executive Officer pursuant to Rule 13a-14(a) or 15d-14(a)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Certification of the Principal Financial Officer pursuant to Rule 13a-14(a) or 15d-14(a)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Certification of the Principal Executive Officer pursuant to 18 U.S.C. Section 1350 and Rule 13a-14(B)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Certification of the Principal Financial Officer pursuant to 18 U.S.C. Section 1350 and Rule 13a-14(B) promulgated under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Linkbases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1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58"/>
        <w:gridCol w:w="2873"/>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Indicates management contract or compensatory plan or arrangement.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0129d220b84b49859782d82925d2b0a1_7">
        <w:r>
          <w:rPr>
            <w:rStyle w:val="InternetLink"/>
          </w:rPr>
          <w:t>Table</w:t>
        </w:r>
      </w:hyperlink>
      <w:hyperlink w:anchor="i0129d220b84b49859782d82925d2b0a1_7">
        <w:r>
          <w:rPr>
            <w:rStyle w:val="InternetLink"/>
          </w:rPr>
          <w:t xml:space="preserve"> </w:t>
        </w:r>
      </w:hyperlink>
      <w:hyperlink w:anchor="i0129d220b84b49859782d82925d2b0a1_7">
        <w:r>
          <w:rPr>
            <w:rStyle w:val="InternetLink"/>
          </w:rPr>
          <w:t>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081"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366"/>
        <w:gridCol w:w="366"/>
        <w:gridCol w:w="366"/>
        <w:gridCol w:w="472"/>
        <w:gridCol w:w="472"/>
        <w:gridCol w:w="67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Crescent Biopharma,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Joshua Brumm</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Scalzo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Scalzo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53689/000110465924112054/tm2427013d1_ex2-1.htm" TargetMode="External"/><Relationship Id="rId4" Type="http://schemas.openxmlformats.org/officeDocument/2006/relationships/hyperlink" Target="https://www.sec.gov/Archives/edgar/data/1253689/000155837025001016/glyc-20250214xex10d1.htm" TargetMode="External"/><Relationship Id="rId5" Type="http://schemas.openxmlformats.org/officeDocument/2006/relationships/hyperlink" Target="https://www.sec.gov/Archives/edgar/data/1253689/000110465925040386/tm2513409d1_ex10-1.htm" TargetMode="External"/><Relationship Id="rId6" Type="http://schemas.openxmlformats.org/officeDocument/2006/relationships/hyperlink" Target="https://www.sec.gov/Archives/edgar/data/1253689/000110465925060714/tm2518203d1_ex3-4.htm" TargetMode="External"/><Relationship Id="rId7" Type="http://schemas.openxmlformats.org/officeDocument/2006/relationships/hyperlink" Target="https://www.sec.gov/Archives/edgar/data/1253689/000110465925060714/tm2518203d1_ex3-6.htm" TargetMode="External"/><Relationship Id="rId8" Type="http://schemas.openxmlformats.org/officeDocument/2006/relationships/hyperlink" Target="https://www.sec.gov/Archives/edgar/data/1253689/000110465925060714/tm2518203d1_ex3-6.htm" TargetMode="External"/><Relationship Id="rId9" Type="http://schemas.openxmlformats.org/officeDocument/2006/relationships/hyperlink" Target="https://www.sec.gov/Archives/edgar/data/1253689/000162828026050869/q22026-exhibitx311.htm" TargetMode="External"/><Relationship Id="rId10" Type="http://schemas.openxmlformats.org/officeDocument/2006/relationships/hyperlink" Target="https://www.sec.gov/Archives/edgar/data/1253689/000162828026050869/q22026-exhibitx312.htm" TargetMode="External"/><Relationship Id="rId11" Type="http://schemas.openxmlformats.org/officeDocument/2006/relationships/hyperlink" Target="https://www.sec.gov/Archives/edgar/data/1253689/000162828026050869/q22026-exhibitx321.htm" TargetMode="External"/><Relationship Id="rId12" Type="http://schemas.openxmlformats.org/officeDocument/2006/relationships/hyperlink" Target="https://www.sec.gov/Archives/edgar/data/1253689/000162828026050869/q22026-exhibitx32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94</Pages>
  <Words>62758</Words>
  <Characters>354069</Characters>
  <CharactersWithSpaces>415233</CharactersWithSpaces>
  <Paragraphs>2820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