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0801-1_4seq1.xml.htm"/>
      <w:bookmarkStart w:id="1" w:name="kstm262080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Fairmount Funds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CRESCENT BIOPHARMA, INC.</w:t>
              </w:r>
            </w:hyperlink>
            <w:r>
              <w:rPr/>
              <w:t xml:space="preserve"> [ </w:t>
            </w:r>
            <w:r>
              <w:rPr>
                <w:rFonts w:ascii="Times;serif" w:hAnsi="Times;serif"/>
                <w:color w:val="0000FF"/>
                <w:sz w:val="24"/>
                <w:shd w:fill="FFFFFF" w:val="clear"/>
              </w:rPr>
              <w:t>CBIO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9"/>
        <w:gridCol w:w="916"/>
        <w:gridCol w:w="786"/>
        <w:gridCol w:w="608"/>
        <w:gridCol w:w="342"/>
        <w:gridCol w:w="1009"/>
        <w:gridCol w:w="428"/>
        <w:gridCol w:w="654"/>
        <w:gridCol w:w="1256"/>
        <w:gridCol w:w="972"/>
        <w:gridCol w:w="118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853,450</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14.5</w:t>
            </w:r>
          </w:p>
        </w:tc>
        <w:tc>
          <w:tcPr>
            <w:tcW w:w="12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3,601,316</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Fairmount Healthcare Fund II L.P.</w:t>
            </w:r>
            <w:r>
              <w:rPr>
                <w:rFonts w:ascii="Times;serif" w:hAnsi="Times;serif"/>
                <w:color w:val="008000"/>
                <w:position w:val="7"/>
                <w:sz w:val="16"/>
                <w:sz w:val="20"/>
                <w:shd w:fill="FFFFFF" w:val="clear"/>
              </w:rPr>
              <w:t>(1)</w:t>
            </w:r>
          </w:p>
        </w:tc>
      </w:tr>
    </w:tbl>
    <w:tbl>
      <w:tblPr>
        <w:tblW w:w="12704" w:type="dxa"/>
        <w:jc w:val="left"/>
        <w:tblInd w:w="-7" w:type="dxa"/>
        <w:tblLayout w:type="fixed"/>
        <w:tblCellMar>
          <w:top w:w="60" w:type="dxa"/>
          <w:left w:w="60" w:type="dxa"/>
          <w:bottom w:w="60" w:type="dxa"/>
          <w:right w:w="60" w:type="dxa"/>
        </w:tblCellMar>
      </w:tblPr>
      <w:tblGrid>
        <w:gridCol w:w="1085"/>
        <w:gridCol w:w="861"/>
        <w:gridCol w:w="891"/>
        <w:gridCol w:w="771"/>
        <w:gridCol w:w="591"/>
        <w:gridCol w:w="300"/>
        <w:gridCol w:w="816"/>
        <w:gridCol w:w="276"/>
        <w:gridCol w:w="906"/>
        <w:gridCol w:w="801"/>
        <w:gridCol w:w="861"/>
        <w:gridCol w:w="921"/>
        <w:gridCol w:w="801"/>
        <w:gridCol w:w="966"/>
        <w:gridCol w:w="831"/>
        <w:gridCol w:w="1026"/>
      </w:tblGrid>
      <w:tr>
        <w:trPr>
          <w:tblHeader w:val="true"/>
        </w:trPr>
        <w:tc>
          <w:tcPr>
            <w:tcW w:w="127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Pre-Funded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525,897</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525,897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14.499</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2,294,037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Fairmount Healthcare Fund II L.P.</w:t>
            </w:r>
            <w:r>
              <w:rPr>
                <w:rFonts w:ascii="Times;serif" w:hAnsi="Times;serif"/>
                <w:color w:val="008000"/>
                <w:position w:val="7"/>
                <w:sz w:val="16"/>
                <w:sz w:val="20"/>
                <w:shd w:fill="FFFFFF" w:val="clear"/>
              </w:rPr>
              <w:t>(1)</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Fairmount Funds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Fairmount Healthcare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Kiselak Tomas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Harwin Peter Evan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Fairmount Funds Management LLC ("Fairmount") is the investment manager for Fairmount Healthcare Fund II L.P. The managers of Fairmount are Peter Harwin and Tomas Kiselak. Fairmount, Mr. Harwin, and Mr. Kiselak disclaim beneficial ownership of any of the reported securities,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Pre-Funded Warrants have no expiration date and are exercisable at any time after the date of issuance. A holder of Pre-Funded Warrants may not exercise the Pre-Funded Warrant if the holder, together with its affiliates, would beneficially own more than 9.99% of the number of outstanding shares of common stock of the Issuer immediately after giving effect to such exercise.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Fairmount may be deemed a director by deputization of Issuer by virtue of the fact that Peter Harwin serves on the board of directors of the Issuer and is a manager of Fairmount.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 Managing Member of Fairmount Funds Management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 Managing Member of Fairmount Healthcare Fund II,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Tomas Kiselak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Harwin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2528" TargetMode="External"/><Relationship Id="rId5" Type="http://schemas.openxmlformats.org/officeDocument/2006/relationships/hyperlink" Target="http://www.sec.gov/cgi-bin/browse-edgar?action=getcompany&amp;CIK=00012536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802528" TargetMode="External"/><Relationship Id="rId10" Type="http://schemas.openxmlformats.org/officeDocument/2006/relationships/hyperlink" Target="http://www.sec.gov/cgi-bin/browse-edgar?action=getcompany&amp;CIK=0001769651" TargetMode="External"/><Relationship Id="rId11" Type="http://schemas.openxmlformats.org/officeDocument/2006/relationships/hyperlink" Target="http://www.sec.gov/cgi-bin/browse-edgar?action=getcompany&amp;CIK=0001830177" TargetMode="External"/><Relationship Id="rId12" Type="http://schemas.openxmlformats.org/officeDocument/2006/relationships/hyperlink" Target="http://www.sec.gov/cgi-bin/browse-edgar?action=getcompany&amp;CIK=0001663607"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875</Words>
  <Characters>4766</Characters>
  <CharactersWithSpaces>5495</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