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July 1, 2026</w:t>
      </w:r>
    </w:p>
    <w:p>
      <w:pPr>
        <w:spacing w:after="0" w:line="2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Registration No. 333-</w:t>
      </w:r>
      <w:r>
        <w:rPr>
          <w:rFonts w:ascii="Times New Roman" w:cs="Times New Roman" w:eastAsia="Times New Roman" w:hAnsi="Times New Roman"/>
          <w:sz w:val="12"/>
          <w:szCs w:val="12"/>
          <w:color w:val="auto"/>
        </w:rPr>
        <w:t xml:space="preserve">         </w:t>
      </w:r>
    </w:p>
    <w:p>
      <w:pPr>
        <w:spacing w:after="0" w:line="2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UNDER</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3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0"/>
          <w:szCs w:val="30"/>
          <w:b w:val="1"/>
          <w:bCs w:val="1"/>
          <w:color w:val="auto"/>
        </w:rPr>
        <w:t>Crescent Biopharma,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31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2"/>
          <w:szCs w:val="12"/>
          <w:b w:val="1"/>
          <w:bCs w:val="1"/>
          <w:color w:val="auto"/>
        </w:rPr>
        <w:t>300 Fifth Avenue</w:t>
      </w:r>
    </w:p>
    <w:p>
      <w:pPr>
        <w:spacing w:after="0" w:line="2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2"/>
          <w:szCs w:val="12"/>
          <w:b w:val="1"/>
          <w:bCs w:val="1"/>
          <w:color w:val="auto"/>
        </w:rPr>
        <w:t>Waltham, MA 02451</w:t>
      </w:r>
    </w:p>
    <w:p>
      <w:pPr>
        <w:spacing w:after="0" w:line="31" w:lineRule="exact"/>
        <w:rPr>
          <w:sz w:val="24"/>
          <w:szCs w:val="24"/>
          <w:color w:val="auto"/>
        </w:rPr>
      </w:pPr>
    </w:p>
    <w:tbl>
      <w:tblPr>
        <w:tblLayout w:type="fixed"/>
        <w:tblInd w:w="340" w:type="dxa"/>
        <w:tblCellMar>
          <w:top w:w="0" w:type="dxa"/>
          <w:left w:w="0" w:type="dxa"/>
          <w:bottom w:w="0" w:type="dxa"/>
          <w:right w:w="0" w:type="dxa"/>
        </w:tblCellMar>
      </w:tblPr>
      <w:tr>
        <w:trPr>
          <w:trHeight w:val="158"/>
        </w:trPr>
        <w:tc>
          <w:tcPr>
            <w:tcW w:w="1600" w:type="dxa"/>
            <w:vAlign w:val="bottom"/>
          </w:tcPr>
          <w:p>
            <w:pPr>
              <w:jc w:val="center"/>
              <w:ind w:right="103"/>
              <w:spacing w:after="0"/>
              <w:rPr>
                <w:sz w:val="20"/>
                <w:szCs w:val="20"/>
                <w:color w:val="auto"/>
              </w:rPr>
            </w:pPr>
            <w:r>
              <w:rPr>
                <w:rFonts w:ascii="Times New Roman" w:cs="Times New Roman" w:eastAsia="Times New Roman" w:hAnsi="Times New Roman"/>
                <w:sz w:val="12"/>
                <w:szCs w:val="12"/>
                <w:b w:val="1"/>
                <w:bCs w:val="1"/>
                <w:color w:val="auto"/>
              </w:rPr>
              <w:t>Cayman Islands</w:t>
            </w:r>
          </w:p>
        </w:tc>
        <w:tc>
          <w:tcPr>
            <w:tcW w:w="2300" w:type="dxa"/>
            <w:vAlign w:val="bottom"/>
          </w:tcPr>
          <w:p>
            <w:pPr>
              <w:spacing w:after="0"/>
              <w:rPr>
                <w:sz w:val="13"/>
                <w:szCs w:val="13"/>
                <w:color w:val="auto"/>
              </w:rPr>
            </w:pPr>
          </w:p>
        </w:tc>
        <w:tc>
          <w:tcPr>
            <w:tcW w:w="5100" w:type="dxa"/>
            <w:vAlign w:val="bottom"/>
          </w:tcPr>
          <w:p>
            <w:pPr>
              <w:jc w:val="right"/>
              <w:ind w:right="3118"/>
              <w:spacing w:after="0"/>
              <w:rPr>
                <w:sz w:val="20"/>
                <w:szCs w:val="20"/>
                <w:color w:val="auto"/>
              </w:rPr>
            </w:pPr>
            <w:r>
              <w:rPr>
                <w:rFonts w:ascii="Times New Roman" w:cs="Times New Roman" w:eastAsia="Times New Roman" w:hAnsi="Times New Roman"/>
                <w:sz w:val="12"/>
                <w:szCs w:val="12"/>
                <w:b w:val="1"/>
                <w:bCs w:val="1"/>
                <w:color w:val="auto"/>
              </w:rPr>
              <w:t>(617) 430-5595</w:t>
            </w:r>
          </w:p>
        </w:tc>
        <w:tc>
          <w:tcPr>
            <w:tcW w:w="1480" w:type="dxa"/>
            <w:vAlign w:val="bottom"/>
          </w:tcPr>
          <w:p>
            <w:pPr>
              <w:jc w:val="center"/>
              <w:ind w:left="343"/>
              <w:spacing w:after="0"/>
              <w:rPr>
                <w:sz w:val="20"/>
                <w:szCs w:val="20"/>
                <w:color w:val="auto"/>
              </w:rPr>
            </w:pPr>
            <w:r>
              <w:rPr>
                <w:rFonts w:ascii="Times New Roman" w:cs="Times New Roman" w:eastAsia="Times New Roman" w:hAnsi="Times New Roman"/>
                <w:sz w:val="12"/>
                <w:szCs w:val="12"/>
                <w:b w:val="1"/>
                <w:bCs w:val="1"/>
                <w:color w:val="auto"/>
              </w:rPr>
              <w:t>06-1686563</w:t>
            </w:r>
          </w:p>
        </w:tc>
      </w:tr>
      <w:tr>
        <w:trPr>
          <w:trHeight w:val="144"/>
        </w:trPr>
        <w:tc>
          <w:tcPr>
            <w:tcW w:w="1600" w:type="dxa"/>
            <w:vAlign w:val="bottom"/>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7400" w:type="dxa"/>
            <w:vAlign w:val="bottom"/>
            <w:gridSpan w:val="2"/>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w w:val="99"/>
              </w:rPr>
              <w:t>(Address, including zip code, and telephone number, including area code, of registrant’s principal executive offices)</w:t>
            </w:r>
          </w:p>
        </w:tc>
        <w:tc>
          <w:tcPr>
            <w:tcW w:w="1480" w:type="dxa"/>
            <w:vAlign w:val="bottom"/>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3"/>
        </w:trPr>
        <w:tc>
          <w:tcPr>
            <w:tcW w:w="1600" w:type="dxa"/>
            <w:vAlign w:val="bottom"/>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3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480" w:type="dxa"/>
            <w:vAlign w:val="bottom"/>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w w:val="98"/>
              </w:rPr>
              <w:t>Identification Number)</w:t>
            </w:r>
          </w:p>
        </w:tc>
      </w:tr>
      <w:tr>
        <w:trPr>
          <w:trHeight w:val="345"/>
        </w:trPr>
        <w:tc>
          <w:tcPr>
            <w:tcW w:w="1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100" w:type="dxa"/>
            <w:vAlign w:val="bottom"/>
          </w:tcPr>
          <w:p>
            <w:pPr>
              <w:jc w:val="center"/>
              <w:ind w:right="2238"/>
              <w:spacing w:after="0"/>
              <w:rPr>
                <w:sz w:val="20"/>
                <w:szCs w:val="20"/>
                <w:color w:val="auto"/>
              </w:rPr>
            </w:pPr>
            <w:r>
              <w:rPr>
                <w:rFonts w:ascii="Times New Roman" w:cs="Times New Roman" w:eastAsia="Times New Roman" w:hAnsi="Times New Roman"/>
                <w:sz w:val="12"/>
                <w:szCs w:val="12"/>
                <w:b w:val="1"/>
                <w:bCs w:val="1"/>
                <w:color w:val="auto"/>
              </w:rPr>
              <w:t>Joshua Brumm</w:t>
            </w:r>
          </w:p>
        </w:tc>
        <w:tc>
          <w:tcPr>
            <w:tcW w:w="1480" w:type="dxa"/>
            <w:vAlign w:val="bottom"/>
          </w:tcPr>
          <w:p>
            <w:pPr>
              <w:spacing w:after="0"/>
              <w:rPr>
                <w:sz w:val="24"/>
                <w:szCs w:val="24"/>
                <w:color w:val="auto"/>
              </w:rPr>
            </w:pPr>
          </w:p>
        </w:tc>
      </w:tr>
      <w:tr>
        <w:trPr>
          <w:trHeight w:val="144"/>
        </w:trPr>
        <w:tc>
          <w:tcPr>
            <w:tcW w:w="16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100" w:type="dxa"/>
            <w:vAlign w:val="bottom"/>
          </w:tcPr>
          <w:p>
            <w:pPr>
              <w:jc w:val="center"/>
              <w:ind w:right="2238"/>
              <w:spacing w:after="0"/>
              <w:rPr>
                <w:sz w:val="20"/>
                <w:szCs w:val="20"/>
                <w:color w:val="auto"/>
              </w:rPr>
            </w:pPr>
            <w:r>
              <w:rPr>
                <w:rFonts w:ascii="Times New Roman" w:cs="Times New Roman" w:eastAsia="Times New Roman" w:hAnsi="Times New Roman"/>
                <w:sz w:val="12"/>
                <w:szCs w:val="12"/>
                <w:b w:val="1"/>
                <w:bCs w:val="1"/>
                <w:color w:val="auto"/>
              </w:rPr>
              <w:t>Chief Executive Officer</w:t>
            </w:r>
          </w:p>
        </w:tc>
        <w:tc>
          <w:tcPr>
            <w:tcW w:w="1480" w:type="dxa"/>
            <w:vAlign w:val="bottom"/>
          </w:tcPr>
          <w:p>
            <w:pPr>
              <w:spacing w:after="0"/>
              <w:rPr>
                <w:sz w:val="12"/>
                <w:szCs w:val="12"/>
                <w:color w:val="auto"/>
              </w:rPr>
            </w:pPr>
          </w:p>
        </w:tc>
      </w:tr>
      <w:tr>
        <w:trPr>
          <w:trHeight w:val="144"/>
        </w:trPr>
        <w:tc>
          <w:tcPr>
            <w:tcW w:w="16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100" w:type="dxa"/>
            <w:vAlign w:val="bottom"/>
          </w:tcPr>
          <w:p>
            <w:pPr>
              <w:jc w:val="center"/>
              <w:ind w:right="2218"/>
              <w:spacing w:after="0"/>
              <w:rPr>
                <w:sz w:val="20"/>
                <w:szCs w:val="20"/>
                <w:color w:val="auto"/>
              </w:rPr>
            </w:pPr>
            <w:r>
              <w:rPr>
                <w:rFonts w:ascii="Times New Roman" w:cs="Times New Roman" w:eastAsia="Times New Roman" w:hAnsi="Times New Roman"/>
                <w:sz w:val="12"/>
                <w:szCs w:val="12"/>
                <w:b w:val="1"/>
                <w:bCs w:val="1"/>
                <w:color w:val="auto"/>
              </w:rPr>
              <w:t>300 Fifth Avenue</w:t>
            </w:r>
          </w:p>
        </w:tc>
        <w:tc>
          <w:tcPr>
            <w:tcW w:w="1480" w:type="dxa"/>
            <w:vAlign w:val="bottom"/>
          </w:tcPr>
          <w:p>
            <w:pPr>
              <w:spacing w:after="0"/>
              <w:rPr>
                <w:sz w:val="12"/>
                <w:szCs w:val="12"/>
                <w:color w:val="auto"/>
              </w:rPr>
            </w:pPr>
          </w:p>
        </w:tc>
      </w:tr>
      <w:tr>
        <w:trPr>
          <w:trHeight w:val="154"/>
        </w:trPr>
        <w:tc>
          <w:tcPr>
            <w:tcW w:w="16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5100" w:type="dxa"/>
            <w:vAlign w:val="bottom"/>
          </w:tcPr>
          <w:p>
            <w:pPr>
              <w:jc w:val="center"/>
              <w:ind w:right="2238"/>
              <w:spacing w:after="0"/>
              <w:rPr>
                <w:sz w:val="20"/>
                <w:szCs w:val="20"/>
                <w:color w:val="auto"/>
              </w:rPr>
            </w:pPr>
            <w:r>
              <w:rPr>
                <w:rFonts w:ascii="Times New Roman" w:cs="Times New Roman" w:eastAsia="Times New Roman" w:hAnsi="Times New Roman"/>
                <w:sz w:val="12"/>
                <w:szCs w:val="12"/>
                <w:b w:val="1"/>
                <w:bCs w:val="1"/>
                <w:color w:val="auto"/>
              </w:rPr>
              <w:t>Waltham, MA 02451</w:t>
            </w:r>
          </w:p>
        </w:tc>
        <w:tc>
          <w:tcPr>
            <w:tcW w:w="1480" w:type="dxa"/>
            <w:vAlign w:val="bottom"/>
          </w:tcPr>
          <w:p>
            <w:pPr>
              <w:spacing w:after="0"/>
              <w:rPr>
                <w:sz w:val="13"/>
                <w:szCs w:val="13"/>
                <w:color w:val="auto"/>
              </w:rPr>
            </w:pPr>
          </w:p>
        </w:tc>
      </w:tr>
      <w:tr>
        <w:trPr>
          <w:trHeight w:val="137"/>
        </w:trPr>
        <w:tc>
          <w:tcPr>
            <w:tcW w:w="16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5100" w:type="dxa"/>
            <w:vAlign w:val="bottom"/>
          </w:tcPr>
          <w:p>
            <w:pPr>
              <w:jc w:val="center"/>
              <w:ind w:right="2238"/>
              <w:spacing w:after="0"/>
              <w:rPr>
                <w:sz w:val="20"/>
                <w:szCs w:val="20"/>
                <w:color w:val="auto"/>
              </w:rPr>
            </w:pPr>
            <w:r>
              <w:rPr>
                <w:rFonts w:ascii="Times New Roman" w:cs="Times New Roman" w:eastAsia="Times New Roman" w:hAnsi="Times New Roman"/>
                <w:sz w:val="12"/>
                <w:szCs w:val="12"/>
                <w:b w:val="1"/>
                <w:bCs w:val="1"/>
                <w:color w:val="auto"/>
              </w:rPr>
              <w:t>(617) 430-5595</w:t>
            </w:r>
          </w:p>
        </w:tc>
        <w:tc>
          <w:tcPr>
            <w:tcW w:w="1480" w:type="dxa"/>
            <w:vAlign w:val="bottom"/>
          </w:tcPr>
          <w:p>
            <w:pPr>
              <w:spacing w:after="0"/>
              <w:rPr>
                <w:sz w:val="11"/>
                <w:szCs w:val="11"/>
                <w:color w:val="auto"/>
              </w:rPr>
            </w:pPr>
          </w:p>
        </w:tc>
      </w:tr>
      <w:tr>
        <w:trPr>
          <w:trHeight w:val="143"/>
        </w:trPr>
        <w:tc>
          <w:tcPr>
            <w:tcW w:w="1600" w:type="dxa"/>
            <w:vAlign w:val="bottom"/>
          </w:tcPr>
          <w:p>
            <w:pPr>
              <w:spacing w:after="0"/>
              <w:rPr>
                <w:sz w:val="12"/>
                <w:szCs w:val="12"/>
                <w:color w:val="auto"/>
              </w:rPr>
            </w:pPr>
          </w:p>
        </w:tc>
        <w:tc>
          <w:tcPr>
            <w:tcW w:w="74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(Name, address, including zip code, and telephone number, including area code, of agent for service)</w:t>
            </w:r>
          </w:p>
        </w:tc>
        <w:tc>
          <w:tcPr>
            <w:tcW w:w="1480" w:type="dxa"/>
            <w:vAlign w:val="bottom"/>
          </w:tcPr>
          <w:p>
            <w:pPr>
              <w:spacing w:after="0"/>
              <w:rPr>
                <w:sz w:val="12"/>
                <w:szCs w:val="12"/>
                <w:color w:val="auto"/>
              </w:rPr>
            </w:pPr>
          </w:p>
        </w:tc>
      </w:tr>
      <w:tr>
        <w:trPr>
          <w:trHeight w:val="343"/>
        </w:trPr>
        <w:tc>
          <w:tcPr>
            <w:tcW w:w="1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100" w:type="dxa"/>
            <w:vAlign w:val="bottom"/>
          </w:tcPr>
          <w:p>
            <w:pPr>
              <w:jc w:val="center"/>
              <w:ind w:right="2238"/>
              <w:spacing w:after="0"/>
              <w:rPr>
                <w:sz w:val="20"/>
                <w:szCs w:val="20"/>
                <w:color w:val="auto"/>
              </w:rPr>
            </w:pPr>
            <w:r>
              <w:rPr>
                <w:rFonts w:ascii="Times New Roman" w:cs="Times New Roman" w:eastAsia="Times New Roman" w:hAnsi="Times New Roman"/>
                <w:sz w:val="12"/>
                <w:szCs w:val="12"/>
                <w:b w:val="1"/>
                <w:bCs w:val="1"/>
                <w:i w:val="1"/>
                <w:iCs w:val="1"/>
                <w:color w:val="auto"/>
              </w:rPr>
              <w:t>With a copy to:</w:t>
            </w:r>
          </w:p>
        </w:tc>
        <w:tc>
          <w:tcPr>
            <w:tcW w:w="1480" w:type="dxa"/>
            <w:vAlign w:val="bottom"/>
          </w:tcPr>
          <w:p>
            <w:pPr>
              <w:spacing w:after="0"/>
              <w:rPr>
                <w:sz w:val="24"/>
                <w:szCs w:val="24"/>
                <w:color w:val="auto"/>
              </w:rPr>
            </w:pPr>
          </w:p>
        </w:tc>
      </w:tr>
      <w:tr>
        <w:trPr>
          <w:trHeight w:val="179"/>
        </w:trPr>
        <w:tc>
          <w:tcPr>
            <w:tcW w:w="1600" w:type="dxa"/>
            <w:vAlign w:val="bottom"/>
          </w:tcPr>
          <w:p>
            <w:pPr>
              <w:spacing w:after="0"/>
              <w:rPr>
                <w:sz w:val="15"/>
                <w:szCs w:val="15"/>
                <w:color w:val="auto"/>
              </w:rPr>
            </w:pPr>
          </w:p>
        </w:tc>
        <w:tc>
          <w:tcPr>
            <w:tcW w:w="2300" w:type="dxa"/>
            <w:vAlign w:val="bottom"/>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rPr>
              <w:t>Barbara Bispham Hale</w:t>
            </w:r>
          </w:p>
        </w:tc>
        <w:tc>
          <w:tcPr>
            <w:tcW w:w="5100" w:type="dxa"/>
            <w:vAlign w:val="bottom"/>
          </w:tcPr>
          <w:p>
            <w:pPr>
              <w:jc w:val="center"/>
              <w:ind w:left="2978"/>
              <w:spacing w:after="0"/>
              <w:rPr>
                <w:sz w:val="20"/>
                <w:szCs w:val="20"/>
                <w:color w:val="auto"/>
              </w:rPr>
            </w:pPr>
            <w:r>
              <w:rPr>
                <w:rFonts w:ascii="Times New Roman" w:cs="Times New Roman" w:eastAsia="Times New Roman" w:hAnsi="Times New Roman"/>
                <w:sz w:val="12"/>
                <w:szCs w:val="12"/>
                <w:b w:val="1"/>
                <w:bCs w:val="1"/>
                <w:color w:val="auto"/>
              </w:rPr>
              <w:t>Peter N. Handrinos</w:t>
            </w:r>
          </w:p>
        </w:tc>
        <w:tc>
          <w:tcPr>
            <w:tcW w:w="1480" w:type="dxa"/>
            <w:vAlign w:val="bottom"/>
          </w:tcPr>
          <w:p>
            <w:pPr>
              <w:spacing w:after="0"/>
              <w:rPr>
                <w:sz w:val="15"/>
                <w:szCs w:val="15"/>
                <w:color w:val="auto"/>
              </w:rPr>
            </w:pPr>
          </w:p>
        </w:tc>
      </w:tr>
      <w:tr>
        <w:trPr>
          <w:trHeight w:val="163"/>
        </w:trPr>
        <w:tc>
          <w:tcPr>
            <w:tcW w:w="1600" w:type="dxa"/>
            <w:vAlign w:val="bottom"/>
          </w:tcPr>
          <w:p>
            <w:pPr>
              <w:spacing w:after="0"/>
              <w:rPr>
                <w:sz w:val="14"/>
                <w:szCs w:val="14"/>
                <w:color w:val="auto"/>
              </w:rPr>
            </w:pPr>
          </w:p>
        </w:tc>
        <w:tc>
          <w:tcPr>
            <w:tcW w:w="2300" w:type="dxa"/>
            <w:vAlign w:val="bottom"/>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rPr>
              <w:t>Crescent Biopharma, Inc.</w:t>
            </w:r>
          </w:p>
        </w:tc>
        <w:tc>
          <w:tcPr>
            <w:tcW w:w="5100" w:type="dxa"/>
            <w:vAlign w:val="bottom"/>
          </w:tcPr>
          <w:p>
            <w:pPr>
              <w:jc w:val="center"/>
              <w:ind w:left="2978"/>
              <w:spacing w:after="0"/>
              <w:rPr>
                <w:sz w:val="20"/>
                <w:szCs w:val="20"/>
                <w:color w:val="auto"/>
              </w:rPr>
            </w:pPr>
            <w:r>
              <w:rPr>
                <w:rFonts w:ascii="Times New Roman" w:cs="Times New Roman" w:eastAsia="Times New Roman" w:hAnsi="Times New Roman"/>
                <w:sz w:val="12"/>
                <w:szCs w:val="12"/>
                <w:b w:val="1"/>
                <w:bCs w:val="1"/>
                <w:color w:val="auto"/>
              </w:rPr>
              <w:t>Wesley C. Holmes</w:t>
            </w:r>
          </w:p>
        </w:tc>
        <w:tc>
          <w:tcPr>
            <w:tcW w:w="1480" w:type="dxa"/>
            <w:vAlign w:val="bottom"/>
          </w:tcPr>
          <w:p>
            <w:pPr>
              <w:spacing w:after="0"/>
              <w:rPr>
                <w:sz w:val="14"/>
                <w:szCs w:val="14"/>
                <w:color w:val="auto"/>
              </w:rPr>
            </w:pPr>
          </w:p>
        </w:tc>
      </w:tr>
      <w:tr>
        <w:trPr>
          <w:trHeight w:val="135"/>
        </w:trPr>
        <w:tc>
          <w:tcPr>
            <w:tcW w:w="1600" w:type="dxa"/>
            <w:vAlign w:val="bottom"/>
          </w:tcPr>
          <w:p>
            <w:pPr>
              <w:spacing w:after="0"/>
              <w:rPr>
                <w:sz w:val="11"/>
                <w:szCs w:val="11"/>
                <w:color w:val="auto"/>
              </w:rPr>
            </w:pPr>
          </w:p>
        </w:tc>
        <w:tc>
          <w:tcPr>
            <w:tcW w:w="2300" w:type="dxa"/>
            <w:vAlign w:val="bottom"/>
          </w:tcPr>
          <w:p>
            <w:pPr>
              <w:jc w:val="center"/>
              <w:ind w:right="580"/>
              <w:spacing w:after="0" w:line="135" w:lineRule="exact"/>
              <w:rPr>
                <w:sz w:val="20"/>
                <w:szCs w:val="20"/>
                <w:color w:val="auto"/>
              </w:rPr>
            </w:pPr>
            <w:r>
              <w:rPr>
                <w:rFonts w:ascii="Times New Roman" w:cs="Times New Roman" w:eastAsia="Times New Roman" w:hAnsi="Times New Roman"/>
                <w:sz w:val="12"/>
                <w:szCs w:val="12"/>
                <w:b w:val="1"/>
                <w:bCs w:val="1"/>
                <w:color w:val="auto"/>
              </w:rPr>
              <w:t>300 Fifth Avenue</w:t>
            </w:r>
          </w:p>
        </w:tc>
        <w:tc>
          <w:tcPr>
            <w:tcW w:w="5100" w:type="dxa"/>
            <w:vAlign w:val="bottom"/>
          </w:tcPr>
          <w:p>
            <w:pPr>
              <w:jc w:val="center"/>
              <w:ind w:left="2978"/>
              <w:spacing w:after="0" w:line="135" w:lineRule="exact"/>
              <w:rPr>
                <w:sz w:val="20"/>
                <w:szCs w:val="20"/>
                <w:color w:val="auto"/>
              </w:rPr>
            </w:pPr>
            <w:r>
              <w:rPr>
                <w:rFonts w:ascii="Times New Roman" w:cs="Times New Roman" w:eastAsia="Times New Roman" w:hAnsi="Times New Roman"/>
                <w:sz w:val="12"/>
                <w:szCs w:val="12"/>
                <w:b w:val="1"/>
                <w:bCs w:val="1"/>
                <w:color w:val="auto"/>
              </w:rPr>
              <w:t>Latham &amp; Watkins LLP</w:t>
            </w:r>
          </w:p>
        </w:tc>
        <w:tc>
          <w:tcPr>
            <w:tcW w:w="1480" w:type="dxa"/>
            <w:vAlign w:val="bottom"/>
          </w:tcPr>
          <w:p>
            <w:pPr>
              <w:spacing w:after="0"/>
              <w:rPr>
                <w:sz w:val="11"/>
                <w:szCs w:val="11"/>
                <w:color w:val="auto"/>
              </w:rPr>
            </w:pPr>
          </w:p>
        </w:tc>
      </w:tr>
      <w:tr>
        <w:trPr>
          <w:trHeight w:val="163"/>
        </w:trPr>
        <w:tc>
          <w:tcPr>
            <w:tcW w:w="1600" w:type="dxa"/>
            <w:vAlign w:val="bottom"/>
          </w:tcPr>
          <w:p>
            <w:pPr>
              <w:spacing w:after="0"/>
              <w:rPr>
                <w:sz w:val="14"/>
                <w:szCs w:val="14"/>
                <w:color w:val="auto"/>
              </w:rPr>
            </w:pPr>
          </w:p>
        </w:tc>
        <w:tc>
          <w:tcPr>
            <w:tcW w:w="2300" w:type="dxa"/>
            <w:vAlign w:val="bottom"/>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rPr>
              <w:t>Waltham, MA 02451</w:t>
            </w:r>
          </w:p>
        </w:tc>
        <w:tc>
          <w:tcPr>
            <w:tcW w:w="5100" w:type="dxa"/>
            <w:vAlign w:val="bottom"/>
          </w:tcPr>
          <w:p>
            <w:pPr>
              <w:jc w:val="center"/>
              <w:ind w:left="2958"/>
              <w:spacing w:after="0"/>
              <w:rPr>
                <w:sz w:val="20"/>
                <w:szCs w:val="20"/>
                <w:color w:val="auto"/>
              </w:rPr>
            </w:pPr>
            <w:r>
              <w:rPr>
                <w:rFonts w:ascii="Times New Roman" w:cs="Times New Roman" w:eastAsia="Times New Roman" w:hAnsi="Times New Roman"/>
                <w:sz w:val="12"/>
                <w:szCs w:val="12"/>
                <w:b w:val="1"/>
                <w:bCs w:val="1"/>
                <w:color w:val="auto"/>
              </w:rPr>
              <w:t>200 Clarendon Street</w:t>
            </w:r>
          </w:p>
        </w:tc>
        <w:tc>
          <w:tcPr>
            <w:tcW w:w="1480" w:type="dxa"/>
            <w:vAlign w:val="bottom"/>
          </w:tcPr>
          <w:p>
            <w:pPr>
              <w:spacing w:after="0"/>
              <w:rPr>
                <w:sz w:val="14"/>
                <w:szCs w:val="14"/>
                <w:color w:val="auto"/>
              </w:rPr>
            </w:pPr>
          </w:p>
        </w:tc>
      </w:tr>
      <w:tr>
        <w:trPr>
          <w:trHeight w:val="135"/>
        </w:trPr>
        <w:tc>
          <w:tcPr>
            <w:tcW w:w="1600" w:type="dxa"/>
            <w:vAlign w:val="bottom"/>
          </w:tcPr>
          <w:p>
            <w:pPr>
              <w:spacing w:after="0"/>
              <w:rPr>
                <w:sz w:val="11"/>
                <w:szCs w:val="11"/>
                <w:color w:val="auto"/>
              </w:rPr>
            </w:pPr>
          </w:p>
        </w:tc>
        <w:tc>
          <w:tcPr>
            <w:tcW w:w="2300" w:type="dxa"/>
            <w:vAlign w:val="bottom"/>
          </w:tcPr>
          <w:p>
            <w:pPr>
              <w:jc w:val="center"/>
              <w:ind w:right="580"/>
              <w:spacing w:after="0" w:line="135" w:lineRule="exact"/>
              <w:rPr>
                <w:sz w:val="20"/>
                <w:szCs w:val="20"/>
                <w:color w:val="auto"/>
              </w:rPr>
            </w:pPr>
            <w:r>
              <w:rPr>
                <w:rFonts w:ascii="Times New Roman" w:cs="Times New Roman" w:eastAsia="Times New Roman" w:hAnsi="Times New Roman"/>
                <w:sz w:val="12"/>
                <w:szCs w:val="12"/>
                <w:b w:val="1"/>
                <w:bCs w:val="1"/>
                <w:color w:val="auto"/>
              </w:rPr>
              <w:t>(617) 430-5595</w:t>
            </w:r>
          </w:p>
        </w:tc>
        <w:tc>
          <w:tcPr>
            <w:tcW w:w="5100" w:type="dxa"/>
            <w:vAlign w:val="bottom"/>
          </w:tcPr>
          <w:p>
            <w:pPr>
              <w:jc w:val="center"/>
              <w:ind w:left="2958"/>
              <w:spacing w:after="0" w:line="135" w:lineRule="exact"/>
              <w:rPr>
                <w:sz w:val="20"/>
                <w:szCs w:val="20"/>
                <w:color w:val="auto"/>
              </w:rPr>
            </w:pPr>
            <w:r>
              <w:rPr>
                <w:rFonts w:ascii="Times New Roman" w:cs="Times New Roman" w:eastAsia="Times New Roman" w:hAnsi="Times New Roman"/>
                <w:sz w:val="12"/>
                <w:szCs w:val="12"/>
                <w:b w:val="1"/>
                <w:bCs w:val="1"/>
                <w:color w:val="auto"/>
              </w:rPr>
              <w:t>Boston, MA 02116</w:t>
            </w:r>
          </w:p>
        </w:tc>
        <w:tc>
          <w:tcPr>
            <w:tcW w:w="1480" w:type="dxa"/>
            <w:vAlign w:val="bottom"/>
          </w:tcPr>
          <w:p>
            <w:pPr>
              <w:spacing w:after="0"/>
              <w:rPr>
                <w:sz w:val="11"/>
                <w:szCs w:val="11"/>
                <w:color w:val="auto"/>
              </w:rPr>
            </w:pPr>
          </w:p>
        </w:tc>
      </w:tr>
      <w:tr>
        <w:trPr>
          <w:trHeight w:val="162"/>
        </w:trPr>
        <w:tc>
          <w:tcPr>
            <w:tcW w:w="16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100" w:type="dxa"/>
            <w:vAlign w:val="bottom"/>
          </w:tcPr>
          <w:p>
            <w:pPr>
              <w:jc w:val="center"/>
              <w:ind w:left="2978"/>
              <w:spacing w:after="0"/>
              <w:rPr>
                <w:sz w:val="20"/>
                <w:szCs w:val="20"/>
                <w:color w:val="auto"/>
              </w:rPr>
            </w:pPr>
            <w:r>
              <w:rPr>
                <w:rFonts w:ascii="Times New Roman" w:cs="Times New Roman" w:eastAsia="Times New Roman" w:hAnsi="Times New Roman"/>
                <w:sz w:val="12"/>
                <w:szCs w:val="12"/>
                <w:b w:val="1"/>
                <w:bCs w:val="1"/>
                <w:color w:val="auto"/>
              </w:rPr>
              <w:t>(617) 948-6000</w:t>
            </w:r>
          </w:p>
        </w:tc>
        <w:tc>
          <w:tcPr>
            <w:tcW w:w="1480" w:type="dxa"/>
            <w:vAlign w:val="bottom"/>
          </w:tcPr>
          <w:p>
            <w:pPr>
              <w:spacing w:after="0"/>
              <w:rPr>
                <w:sz w:val="14"/>
                <w:szCs w:val="14"/>
                <w:color w:val="auto"/>
              </w:rPr>
            </w:pPr>
          </w:p>
        </w:tc>
      </w:tr>
    </w:tbl>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APPROXIMATE DATE OF COMMENCEMENT OF PROPOSED SALE TO THE PUBLIC: </w:t>
      </w:r>
      <w:r>
        <w:rPr>
          <w:rFonts w:ascii="Times New Roman" w:cs="Times New Roman" w:eastAsia="Times New Roman" w:hAnsi="Times New Roman"/>
          <w:sz w:val="11"/>
          <w:szCs w:val="11"/>
          <w:color w:val="auto"/>
        </w:rPr>
        <w:t>From time to time after the effective date of this registration statement.</w:t>
      </w:r>
    </w:p>
    <w:p>
      <w:pPr>
        <w:spacing w:after="0" w:line="71"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109" w:lineRule="exact"/>
        <w:rPr>
          <w:sz w:val="24"/>
          <w:szCs w:val="24"/>
          <w:color w:val="auto"/>
        </w:rPr>
      </w:pPr>
    </w:p>
    <w:p>
      <w:pPr>
        <w:spacing w:after="0" w:line="152"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57" w:lineRule="exact"/>
        <w:rPr>
          <w:sz w:val="24"/>
          <w:szCs w:val="24"/>
          <w:color w:val="auto"/>
        </w:rPr>
      </w:pPr>
    </w:p>
    <w:p>
      <w:pPr>
        <w:ind w:right="40"/>
        <w:spacing w:after="0" w:line="152"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32"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ectPr>
          <w:pgSz w:w="11900" w:h="16838" w:orient="portrait"/>
          <w:cols w:equalWidth="0" w:num="1">
            <w:col w:w="11260"/>
          </w:cols>
          <w:pgMar w:left="300" w:top="1193" w:right="339" w:bottom="1440" w:gutter="0" w:footer="0" w:header="0"/>
        </w:sectPr>
      </w:pPr>
    </w:p>
    <w:bookmarkStart w:id="1" w:name="page2"/>
    <w:bookmarkEnd w:id="1"/>
    <w:p>
      <w:pPr>
        <w:spacing w:after="0" w:line="127"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spacing w:after="0" w:line="26" w:lineRule="exact"/>
        <w:rPr>
          <w:sz w:val="20"/>
          <w:szCs w:val="20"/>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8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140" w:type="dxa"/>
            <w:vAlign w:val="bottom"/>
          </w:tcPr>
          <w:p>
            <w:pPr>
              <w:ind w:left="1820"/>
              <w:spacing w:after="0" w:line="111" w:lineRule="exact"/>
              <w:rPr>
                <w:sz w:val="20"/>
                <w:szCs w:val="20"/>
                <w:color w:val="auto"/>
              </w:rPr>
            </w:pPr>
            <w:r>
              <w:rPr>
                <w:rFonts w:ascii="MS PGothic" w:cs="MS PGothic" w:eastAsia="MS PGothic" w:hAnsi="MS PGothic"/>
                <w:sz w:val="11"/>
                <w:szCs w:val="11"/>
                <w:color w:val="auto"/>
              </w:rPr>
              <w:t>☐</w:t>
            </w:r>
          </w:p>
        </w:tc>
        <w:tc>
          <w:tcPr>
            <w:tcW w:w="35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Accelerated filer</w:t>
            </w:r>
          </w:p>
        </w:tc>
        <w:tc>
          <w:tcPr>
            <w:tcW w:w="2280" w:type="dxa"/>
            <w:vAlign w:val="bottom"/>
          </w:tcPr>
          <w:p>
            <w:pPr>
              <w:ind w:left="21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5"/>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140" w:type="dxa"/>
            <w:vAlign w:val="bottom"/>
          </w:tcPr>
          <w:p>
            <w:pPr>
              <w:ind w:left="1820"/>
              <w:spacing w:after="0" w:line="111" w:lineRule="exact"/>
              <w:rPr>
                <w:sz w:val="20"/>
                <w:szCs w:val="20"/>
                <w:color w:val="auto"/>
              </w:rPr>
            </w:pPr>
            <w:r>
              <w:rPr>
                <w:rFonts w:ascii="MS PGothic" w:cs="MS PGothic" w:eastAsia="MS PGothic" w:hAnsi="MS PGothic"/>
                <w:sz w:val="11"/>
                <w:szCs w:val="11"/>
                <w:color w:val="auto"/>
              </w:rPr>
              <w:t>☒</w:t>
            </w:r>
          </w:p>
        </w:tc>
        <w:tc>
          <w:tcPr>
            <w:tcW w:w="35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2280" w:type="dxa"/>
            <w:vAlign w:val="bottom"/>
          </w:tcPr>
          <w:p>
            <w:pPr>
              <w:ind w:left="21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5"/>
        </w:trPr>
        <w:tc>
          <w:tcPr>
            <w:tcW w:w="27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Emerging growth company</w:t>
            </w:r>
          </w:p>
        </w:tc>
        <w:tc>
          <w:tcPr>
            <w:tcW w:w="2280" w:type="dxa"/>
            <w:vAlign w:val="bottom"/>
          </w:tcPr>
          <w:p>
            <w:pPr>
              <w:ind w:left="21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18" w:lineRule="exact"/>
        <w:rPr>
          <w:sz w:val="20"/>
          <w:szCs w:val="20"/>
          <w:color w:val="auto"/>
        </w:rPr>
      </w:pPr>
    </w:p>
    <w:p>
      <w:pPr>
        <w:ind w:right="180"/>
        <w:spacing w:after="0" w:line="152"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331"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ectPr>
          <w:pgSz w:w="11900" w:h="16838" w:orient="portrait"/>
          <w:cols w:equalWidth="0" w:num="1">
            <w:col w:w="11220"/>
          </w:cols>
          <w:pgMar w:left="300" w:top="1175"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registration statement contains two prospectuses:</w:t>
      </w:r>
    </w:p>
    <w:p>
      <w:pPr>
        <w:spacing w:after="0" w:line="188" w:lineRule="exact"/>
        <w:rPr>
          <w:sz w:val="20"/>
          <w:szCs w:val="20"/>
          <w:color w:val="auto"/>
        </w:rPr>
      </w:pPr>
    </w:p>
    <w:p>
      <w:pPr>
        <w:ind w:left="500" w:hanging="252"/>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base prospectus that covers the offering, issuance and sale by us of up to $500 million in the aggregate of the securities identified above from time to time in one or more offerings; and</w:t>
      </w:r>
    </w:p>
    <w:p>
      <w:pPr>
        <w:spacing w:after="0" w:line="6" w:lineRule="exact"/>
        <w:rPr>
          <w:rFonts w:ascii="Times New Roman" w:cs="Times New Roman" w:eastAsia="Times New Roman" w:hAnsi="Times New Roman"/>
          <w:sz w:val="14"/>
          <w:szCs w:val="14"/>
          <w:color w:val="auto"/>
        </w:rPr>
      </w:pPr>
    </w:p>
    <w:p>
      <w:pPr>
        <w:ind w:left="500" w:hanging="252"/>
        <w:spacing w:after="0" w:line="268" w:lineRule="auto"/>
        <w:tabs>
          <w:tab w:leader="none" w:pos="497"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sales agreement prospectus covering the offering, issuance and sale by us of up to a maximum aggregate offering price of $200 million of our ordinary shares that may be issued and sold under an Open Market Sale Agreement</w:t>
      </w:r>
      <w:r>
        <w:rPr>
          <w:rFonts w:ascii="Times New Roman" w:cs="Times New Roman" w:eastAsia="Times New Roman" w:hAnsi="Times New Roman"/>
          <w:sz w:val="17"/>
          <w:szCs w:val="17"/>
          <w:color w:val="auto"/>
          <w:vertAlign w:val="superscript"/>
        </w:rPr>
        <w:t>SM</w:t>
      </w:r>
      <w:r>
        <w:rPr>
          <w:rFonts w:ascii="Times New Roman" w:cs="Times New Roman" w:eastAsia="Times New Roman" w:hAnsi="Times New Roman"/>
          <w:sz w:val="14"/>
          <w:szCs w:val="14"/>
          <w:color w:val="auto"/>
        </w:rPr>
        <w:t>, dated July 1, 2026 (the “Sales Agreement”), with Jefferies LLC (“Jefferies”).</w:t>
      </w:r>
    </w:p>
    <w:p>
      <w:pPr>
        <w:spacing w:after="0" w:line="80"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4"/>
          <w:szCs w:val="14"/>
          <w:color w:val="auto"/>
        </w:rPr>
        <w:t>The base prospectus immediately follows this explanatory note. The specific terms of any securities to be offered pursuant to the base prospectus will be specified in a prospectus supplement to the base prospectus. The specific terms of the securities to be issued and sold under the Sales Agreement are specified in the sales agreement prospectus that immediately follows the base prospectus. The $200 million of ordinary shares that may be offered, issued and sold under the sales agreement prospectus is included in the $500 million of securities that may be offered, issued and sold by us under the base prospectus. Upon termination of the Sales Agreement with Jefferies, any portion of the $200 million included in the sales agreement prospectus that is not sold pursuant to the Sales Agreement will be available for sale in other offerings pursuant to the base prospectus and a corresponding prospectus supplement, and if no shares are sold under the Sales Agreement, the full $200 million of securities may be sold in other offerings by us pursuant to the base prospectus and a corresponding prospectus supplement.</w:t>
      </w:r>
    </w:p>
    <w:p>
      <w:pPr>
        <w:sectPr>
          <w:pgSz w:w="11900" w:h="16838" w:orient="portrait"/>
          <w:cols w:equalWidth="0" w:num="1">
            <w:col w:w="11260"/>
          </w:cols>
          <w:pgMar w:left="300" w:top="1274" w:right="339" w:bottom="1440" w:gutter="0" w:footer="0" w:header="0"/>
        </w:sectPr>
      </w:pPr>
    </w:p>
    <w:bookmarkStart w:id="3" w:name="page4"/>
    <w:bookmarkEnd w:id="3"/>
    <w:p>
      <w:pPr>
        <w:ind w:right="160"/>
        <w:spacing w:after="0" w:line="272" w:lineRule="auto"/>
        <w:rPr>
          <w:sz w:val="20"/>
          <w:szCs w:val="20"/>
          <w:color w:val="auto"/>
        </w:rPr>
      </w:pPr>
      <w:r>
        <w:rPr>
          <w:rFonts w:ascii="Times New Roman" w:cs="Times New Roman" w:eastAsia="Times New Roman" w:hAnsi="Times New Roman"/>
          <w:sz w:val="14"/>
          <w:szCs w:val="14"/>
          <w:b w:val="1"/>
          <w:bCs w:val="1"/>
          <w:color w:val="FF4338"/>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FF4338"/>
        </w:rPr>
        <w:t>Subject to Completion, dated July 1, 2026.</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260350</wp:posOffset>
            </wp:positionV>
            <wp:extent cx="1381125" cy="508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1125" cy="508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$500,000,000</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Ordinary Shares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Preferred Shares</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155" w:lineRule="exact"/>
        <w:rPr>
          <w:sz w:val="20"/>
          <w:szCs w:val="20"/>
          <w:color w:val="auto"/>
        </w:rPr>
      </w:pPr>
    </w:p>
    <w:p>
      <w:pPr>
        <w:ind w:right="100" w:firstLine="335"/>
        <w:spacing w:after="0" w:line="266" w:lineRule="auto"/>
        <w:rPr>
          <w:sz w:val="20"/>
          <w:szCs w:val="20"/>
          <w:color w:val="auto"/>
        </w:rPr>
      </w:pPr>
      <w:r>
        <w:rPr>
          <w:rFonts w:ascii="Times New Roman" w:cs="Times New Roman" w:eastAsia="Times New Roman" w:hAnsi="Times New Roman"/>
          <w:sz w:val="14"/>
          <w:szCs w:val="14"/>
          <w:color w:val="auto"/>
        </w:rPr>
        <w:t>We may offer and sell up to $500 million in the aggregate of the securities identified above from time to time in one or more offerings. This prospectus provides you with a general description of the securities.</w:t>
      </w:r>
    </w:p>
    <w:p>
      <w:pPr>
        <w:spacing w:after="0" w:line="136" w:lineRule="exact"/>
        <w:rPr>
          <w:sz w:val="20"/>
          <w:szCs w:val="20"/>
          <w:color w:val="auto"/>
        </w:rPr>
      </w:pPr>
    </w:p>
    <w:p>
      <w:pPr>
        <w:ind w:right="220" w:firstLine="335"/>
        <w:spacing w:after="0" w:line="255" w:lineRule="auto"/>
        <w:rPr>
          <w:sz w:val="20"/>
          <w:szCs w:val="20"/>
          <w:color w:val="auto"/>
        </w:rPr>
      </w:pPr>
      <w:r>
        <w:rPr>
          <w:rFonts w:ascii="Times New Roman" w:cs="Times New Roman" w:eastAsia="Times New Roman" w:hAnsi="Times New Roman"/>
          <w:sz w:val="14"/>
          <w:szCs w:val="14"/>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w:t>
      </w:r>
    </w:p>
    <w:p>
      <w:pPr>
        <w:spacing w:after="0" w:line="143" w:lineRule="exact"/>
        <w:rPr>
          <w:sz w:val="20"/>
          <w:szCs w:val="20"/>
          <w:color w:val="auto"/>
        </w:rPr>
      </w:pPr>
    </w:p>
    <w:p>
      <w:pPr>
        <w:ind w:firstLine="335"/>
        <w:spacing w:after="0" w:line="250" w:lineRule="auto"/>
        <w:rPr>
          <w:sz w:val="20"/>
          <w:szCs w:val="20"/>
          <w:color w:val="auto"/>
        </w:rPr>
      </w:pPr>
      <w:r>
        <w:rPr>
          <w:rFonts w:ascii="Times New Roman" w:cs="Times New Roman" w:eastAsia="Times New Roman" w:hAnsi="Times New Roman"/>
          <w:sz w:val="14"/>
          <w:szCs w:val="14"/>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38" w:lineRule="exact"/>
        <w:rPr>
          <w:sz w:val="20"/>
          <w:szCs w:val="20"/>
          <w:color w:val="auto"/>
        </w:rPr>
      </w:pPr>
    </w:p>
    <w:p>
      <w:pPr>
        <w:ind w:right="600" w:firstLine="335"/>
        <w:spacing w:after="0" w:line="276" w:lineRule="auto"/>
        <w:rPr>
          <w:sz w:val="20"/>
          <w:szCs w:val="20"/>
          <w:color w:val="auto"/>
        </w:rPr>
      </w:pPr>
      <w:r>
        <w:rPr>
          <w:rFonts w:ascii="Times New Roman" w:cs="Times New Roman" w:eastAsia="Times New Roman" w:hAnsi="Times New Roman"/>
          <w:sz w:val="15"/>
          <w:szCs w:val="15"/>
          <w:b w:val="1"/>
          <w:bCs w:val="1"/>
          <w:color w:val="auto"/>
        </w:rPr>
        <w:t xml:space="preserve">INVESTING IN OUR SECURITIES INVOLVES RISKS. SEE THE “RISK FACTORS” ON PAGE </w:t>
      </w:r>
      <w:r>
        <w:rPr>
          <w:rFonts w:ascii="Times New Roman" w:cs="Times New Roman" w:eastAsia="Times New Roman" w:hAnsi="Times New Roman"/>
          <w:sz w:val="15"/>
          <w:szCs w:val="15"/>
          <w:b w:val="1"/>
          <w:bCs w:val="1"/>
          <w:u w:val="single" w:color="auto"/>
          <w:color w:val="0000FF"/>
        </w:rPr>
        <w:t>6</w:t>
      </w:r>
      <w:r>
        <w:rPr>
          <w:rFonts w:ascii="Times New Roman" w:cs="Times New Roman" w:eastAsia="Times New Roman" w:hAnsi="Times New Roman"/>
          <w:sz w:val="15"/>
          <w:szCs w:val="15"/>
          <w:b w:val="1"/>
          <w:bCs w:val="1"/>
          <w:color w:val="auto"/>
        </w:rPr>
        <w:t xml:space="preserve"> OF THIS PROSPECTUS AND ANY SIMILAR SECTION CONTAINED IN THE APPLICABLE PROSPECTUS SUPPLEMENT CONCERNING FACTORS YOU SHOULD CONSIDER BEFORE INVESTING IN OUR SECURITIES.</w:t>
      </w:r>
    </w:p>
    <w:p>
      <w:pPr>
        <w:spacing w:after="0" w:line="121" w:lineRule="exact"/>
        <w:rPr>
          <w:sz w:val="20"/>
          <w:szCs w:val="20"/>
          <w:color w:val="auto"/>
        </w:rPr>
      </w:pPr>
    </w:p>
    <w:p>
      <w:pPr>
        <w:ind w:right="40" w:firstLine="335"/>
        <w:spacing w:after="0" w:line="266" w:lineRule="auto"/>
        <w:rPr>
          <w:sz w:val="20"/>
          <w:szCs w:val="20"/>
          <w:color w:val="auto"/>
        </w:rPr>
      </w:pPr>
      <w:r>
        <w:rPr>
          <w:rFonts w:ascii="Times New Roman" w:cs="Times New Roman" w:eastAsia="Times New Roman" w:hAnsi="Times New Roman"/>
          <w:sz w:val="14"/>
          <w:szCs w:val="14"/>
          <w:color w:val="auto"/>
        </w:rPr>
        <w:t>Our ordinary shares are listed on the Nasdaq Capital Market under the symbol “CBIO.” On June 30, 2026, the last reported sale price of our ordinary shares on the Nasdaq Capital Market was $18.00 per share.</w:t>
      </w:r>
    </w:p>
    <w:p>
      <w:pPr>
        <w:sectPr>
          <w:pgSz w:w="11900" w:h="16838" w:orient="portrait"/>
          <w:cols w:equalWidth="0" w:num="1">
            <w:col w:w="11240"/>
          </w:cols>
          <w:pgMar w:left="300" w:top="1292" w:right="359" w:bottom="1440" w:gutter="0" w:footer="0" w:header="0"/>
        </w:sectPr>
      </w:pPr>
    </w:p>
    <w:bookmarkStart w:id="4" w:name="page5"/>
    <w:bookmarkEnd w:id="4"/>
    <w:p>
      <w:pPr>
        <w:ind w:firstLine="335"/>
        <w:spacing w:after="0" w:line="272"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ectPr>
          <w:pgSz w:w="11900" w:h="16838" w:orient="portrait"/>
          <w:cols w:equalWidth="0" w:num="1">
            <w:col w:w="10940"/>
          </w:cols>
          <w:pgMar w:left="300" w:top="1272" w:right="659" w:bottom="1440" w:gutter="0" w:footer="0" w:header="0"/>
        </w:sectPr>
      </w:pPr>
    </w:p>
    <w:bookmarkStart w:id="5" w:name="page6"/>
    <w:bookmarkEnd w:id="5"/>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942340</wp:posOffset>
            </wp:positionV>
            <wp:extent cx="4064635" cy="19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64635" cy="196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0"/>
        </w:trPr>
        <w:tc>
          <w:tcPr>
            <w:tcW w:w="17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w w:val="96"/>
              </w:rPr>
              <w:t>ABOUT THIS PROSPECTUS</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490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color w:val="0000EE"/>
                <w:w w:val="95"/>
              </w:rPr>
              <w:t>CAUTIONARY STATEMENT CONCERNING FORWARD-LOOKING STATEMENTS</w:t>
            </w:r>
          </w:p>
        </w:tc>
        <w:tc>
          <w:tcPr>
            <w:tcW w:w="2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00" w:type="dxa"/>
            <w:vAlign w:val="bottom"/>
            <w:tcBorders>
              <w:bottom w:val="single" w:sz="8" w:color="0000EE"/>
            </w:tcBorders>
            <w:gridSpan w:val="13"/>
            <w:vMerge w:val="continue"/>
          </w:tcPr>
          <w:p>
            <w:pPr>
              <w:spacing w:after="0"/>
              <w:rPr>
                <w:sz w:val="12"/>
                <w:szCs w:val="12"/>
                <w:color w:val="auto"/>
              </w:rPr>
            </w:pPr>
          </w:p>
        </w:tc>
        <w:tc>
          <w:tcPr>
            <w:tcW w:w="2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gridSpan w:val="3"/>
          </w:tcPr>
          <w:p>
            <w:pPr>
              <w:jc w:val="center"/>
              <w:ind w:right="20"/>
              <w:spacing w:after="0" w:line="145"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5120" w:type="dxa"/>
            <w:vAlign w:val="bottom"/>
            <w:gridSpan w:val="14"/>
            <w:vMerge w:val="restart"/>
          </w:tcPr>
          <w:p>
            <w:pPr>
              <w:spacing w:after="0"/>
              <w:rPr>
                <w:sz w:val="20"/>
                <w:szCs w:val="20"/>
                <w:color w:val="auto"/>
              </w:rPr>
            </w:pPr>
            <w:r>
              <w:rPr>
                <w:rFonts w:ascii="Times New Roman" w:cs="Times New Roman" w:eastAsia="Times New Roman" w:hAnsi="Times New Roman"/>
                <w:sz w:val="14"/>
                <w:szCs w:val="14"/>
                <w:color w:val="0000EE"/>
                <w:w w:val="96"/>
              </w:rPr>
              <w:t>WHERE YOU CAN FIND MORE INFORMATION; INCORPORATION BY REFERENCE</w:t>
            </w: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120" w:type="dxa"/>
            <w:vAlign w:val="bottom"/>
            <w:tcBorders>
              <w:bottom w:val="single" w:sz="8" w:color="0000EE"/>
            </w:tcBorders>
            <w:gridSpan w:val="14"/>
            <w:vMerge w:val="continue"/>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gridSpan w:val="3"/>
          </w:tcPr>
          <w:p>
            <w:pPr>
              <w:jc w:val="center"/>
              <w:ind w:right="20"/>
              <w:spacing w:after="0" w:line="145"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0000EE"/>
                <w:w w:val="95"/>
              </w:rPr>
              <w:t>THE COMPANY</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80" w:type="dxa"/>
            <w:vAlign w:val="bottom"/>
            <w:tcBorders>
              <w:bottom w:val="single" w:sz="8" w:color="0000EE"/>
            </w:tcBorders>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20" w:type="dxa"/>
            <w:vAlign w:val="bottom"/>
            <w:gridSpan w:val="3"/>
          </w:tcPr>
          <w:p>
            <w:pPr>
              <w:spacing w:after="0"/>
              <w:rPr>
                <w:sz w:val="12"/>
                <w:szCs w:val="12"/>
                <w:color w:val="auto"/>
              </w:rPr>
            </w:pPr>
          </w:p>
        </w:tc>
        <w:tc>
          <w:tcPr>
            <w:tcW w:w="140" w:type="dxa"/>
            <w:vAlign w:val="bottom"/>
            <w:gridSpan w:val="3"/>
          </w:tcPr>
          <w:p>
            <w:pPr>
              <w:jc w:val="center"/>
              <w:ind w:right="20"/>
              <w:spacing w:after="0" w:line="145"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EE"/>
                <w:w w:val="93"/>
              </w:rPr>
              <w:t>RISK FACTORS</w:t>
            </w: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40" w:type="dxa"/>
            <w:vAlign w:val="bottom"/>
            <w:tcBorders>
              <w:bottom w:val="single" w:sz="8" w:color="0000EE"/>
            </w:tcBorders>
            <w:gridSpan w:val="2"/>
            <w:vMerge w:val="continue"/>
          </w:tcPr>
          <w:p>
            <w:pPr>
              <w:spacing w:after="0"/>
              <w:rPr>
                <w:sz w:val="12"/>
                <w:szCs w:val="12"/>
                <w:color w:val="auto"/>
              </w:rPr>
            </w:pPr>
          </w:p>
        </w:tc>
        <w:tc>
          <w:tcPr>
            <w:tcW w:w="1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20" w:type="dxa"/>
            <w:vAlign w:val="bottom"/>
            <w:gridSpan w:val="3"/>
          </w:tcPr>
          <w:p>
            <w:pPr>
              <w:spacing w:after="0"/>
              <w:rPr>
                <w:sz w:val="12"/>
                <w:szCs w:val="12"/>
                <w:color w:val="auto"/>
              </w:rPr>
            </w:pPr>
          </w:p>
        </w:tc>
        <w:tc>
          <w:tcPr>
            <w:tcW w:w="140" w:type="dxa"/>
            <w:vAlign w:val="bottom"/>
            <w:gridSpan w:val="3"/>
          </w:tcPr>
          <w:p>
            <w:pPr>
              <w:jc w:val="center"/>
              <w:ind w:right="20"/>
              <w:spacing w:after="0" w:line="145"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122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0000FF"/>
                <w:w w:val="97"/>
              </w:rPr>
              <w:t>USE OF PROCEEDS</w:t>
            </w: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20" w:type="dxa"/>
            <w:vAlign w:val="bottom"/>
            <w:tcBorders>
              <w:bottom w:val="single" w:sz="8" w:color="0000FF"/>
            </w:tcBorders>
            <w:gridSpan w:val="6"/>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20" w:type="dxa"/>
            <w:vAlign w:val="bottom"/>
            <w:gridSpan w:val="3"/>
          </w:tcPr>
          <w:p>
            <w:pPr>
              <w:spacing w:after="0"/>
              <w:rPr>
                <w:sz w:val="12"/>
                <w:szCs w:val="12"/>
                <w:color w:val="auto"/>
              </w:rPr>
            </w:pPr>
          </w:p>
        </w:tc>
        <w:tc>
          <w:tcPr>
            <w:tcW w:w="140" w:type="dxa"/>
            <w:vAlign w:val="bottom"/>
            <w:gridSpan w:val="3"/>
          </w:tcPr>
          <w:p>
            <w:pPr>
              <w:jc w:val="center"/>
              <w:ind w:right="20"/>
              <w:spacing w:after="0" w:line="145"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12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0000EE"/>
                <w:w w:val="96"/>
              </w:rPr>
              <w:t>DIVIDEND POLICY</w:t>
            </w: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00" w:type="dxa"/>
            <w:vAlign w:val="bottom"/>
            <w:tcBorders>
              <w:bottom w:val="single" w:sz="8" w:color="0000EE"/>
            </w:tcBorders>
            <w:gridSpan w:val="5"/>
            <w:vMerge w:val="continue"/>
          </w:tcPr>
          <w:p>
            <w:pPr>
              <w:spacing w:after="0"/>
              <w:rPr>
                <w:sz w:val="12"/>
                <w:szCs w:val="12"/>
                <w:color w:val="auto"/>
              </w:rPr>
            </w:pPr>
          </w:p>
        </w:tc>
        <w:tc>
          <w:tcPr>
            <w:tcW w:w="3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20" w:type="dxa"/>
            <w:vAlign w:val="bottom"/>
            <w:gridSpan w:val="3"/>
          </w:tcPr>
          <w:p>
            <w:pPr>
              <w:spacing w:after="0"/>
              <w:rPr>
                <w:sz w:val="12"/>
                <w:szCs w:val="12"/>
                <w:color w:val="auto"/>
              </w:rPr>
            </w:pPr>
          </w:p>
        </w:tc>
        <w:tc>
          <w:tcPr>
            <w:tcW w:w="140" w:type="dxa"/>
            <w:vAlign w:val="bottom"/>
            <w:gridSpan w:val="3"/>
          </w:tcPr>
          <w:p>
            <w:pPr>
              <w:jc w:val="center"/>
              <w:ind w:right="20"/>
              <w:spacing w:after="0" w:line="145"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218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color w:val="0000FF"/>
                <w:w w:val="96"/>
              </w:rPr>
              <w:t>DESCRIPTION OF SHARE CAPITAL</w:t>
            </w:r>
          </w:p>
        </w:tc>
        <w:tc>
          <w:tcPr>
            <w:tcW w:w="120" w:type="dxa"/>
            <w:vAlign w:val="bottom"/>
          </w:tcPr>
          <w:p>
            <w:pPr>
              <w:spacing w:after="0" w:line="20" w:lineRule="exact"/>
              <w:rPr>
                <w:sz w:val="1"/>
                <w:szCs w:val="1"/>
                <w:color w:val="auto"/>
              </w:rPr>
            </w:pPr>
          </w:p>
        </w:tc>
        <w:tc>
          <w:tcPr>
            <w:tcW w:w="8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80" w:type="dxa"/>
            <w:vAlign w:val="bottom"/>
            <w:tcBorders>
              <w:bottom w:val="single" w:sz="8" w:color="0000FF"/>
            </w:tcBorders>
            <w:gridSpan w:val="11"/>
            <w:vMerge w:val="continue"/>
          </w:tcPr>
          <w:p>
            <w:pPr>
              <w:spacing w:after="0"/>
              <w:rPr>
                <w:sz w:val="12"/>
                <w:szCs w:val="12"/>
                <w:color w:val="auto"/>
              </w:rPr>
            </w:pPr>
          </w:p>
        </w:tc>
        <w:tc>
          <w:tcPr>
            <w:tcW w:w="120" w:type="dxa"/>
            <w:vAlign w:val="bottom"/>
          </w:tcPr>
          <w:p>
            <w:pPr>
              <w:spacing w:after="0"/>
              <w:rPr>
                <w:sz w:val="12"/>
                <w:szCs w:val="12"/>
                <w:color w:val="auto"/>
              </w:rPr>
            </w:pPr>
          </w:p>
        </w:tc>
        <w:tc>
          <w:tcPr>
            <w:tcW w:w="8620" w:type="dxa"/>
            <w:vAlign w:val="bottom"/>
            <w:gridSpan w:val="3"/>
          </w:tcPr>
          <w:p>
            <w:pPr>
              <w:spacing w:after="0"/>
              <w:rPr>
                <w:sz w:val="12"/>
                <w:szCs w:val="12"/>
                <w:color w:val="auto"/>
              </w:rPr>
            </w:pPr>
          </w:p>
        </w:tc>
        <w:tc>
          <w:tcPr>
            <w:tcW w:w="140" w:type="dxa"/>
            <w:vAlign w:val="bottom"/>
            <w:gridSpan w:val="3"/>
          </w:tcPr>
          <w:p>
            <w:pPr>
              <w:jc w:val="center"/>
              <w:ind w:right="20"/>
              <w:spacing w:after="0" w:line="145"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
        </w:trPr>
        <w:tc>
          <w:tcPr>
            <w:tcW w:w="230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color w:val="0000EE"/>
                <w:w w:val="96"/>
              </w:rPr>
              <w:t>DESCRIPTION OF DEBT SECURITIES</w:t>
            </w:r>
          </w:p>
        </w:tc>
        <w:tc>
          <w:tcPr>
            <w:tcW w:w="8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300" w:type="dxa"/>
            <w:vAlign w:val="bottom"/>
            <w:tcBorders>
              <w:bottom w:val="single" w:sz="8" w:color="0000EE"/>
            </w:tcBorders>
            <w:gridSpan w:val="12"/>
            <w:vMerge w:val="continue"/>
          </w:tcPr>
          <w:p>
            <w:pPr>
              <w:spacing w:after="0"/>
              <w:rPr>
                <w:sz w:val="12"/>
                <w:szCs w:val="12"/>
                <w:color w:val="auto"/>
              </w:rPr>
            </w:pPr>
          </w:p>
        </w:tc>
        <w:tc>
          <w:tcPr>
            <w:tcW w:w="8620" w:type="dxa"/>
            <w:vAlign w:val="bottom"/>
            <w:gridSpan w:val="3"/>
          </w:tcPr>
          <w:p>
            <w:pPr>
              <w:spacing w:after="0"/>
              <w:rPr>
                <w:sz w:val="12"/>
                <w:szCs w:val="12"/>
                <w:color w:val="auto"/>
              </w:rPr>
            </w:pPr>
          </w:p>
        </w:tc>
        <w:tc>
          <w:tcPr>
            <w:tcW w:w="14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17</w:t>
            </w:r>
          </w:p>
        </w:tc>
        <w:tc>
          <w:tcPr>
            <w:tcW w:w="0" w:type="dxa"/>
            <w:vAlign w:val="bottom"/>
          </w:tcPr>
          <w:p>
            <w:pPr>
              <w:spacing w:after="0"/>
              <w:rPr>
                <w:sz w:val="1"/>
                <w:szCs w:val="1"/>
                <w:color w:val="auto"/>
              </w:rPr>
            </w:pPr>
          </w:p>
        </w:tc>
      </w:tr>
      <w:tr>
        <w:trPr>
          <w:trHeight w:val="20"/>
        </w:trPr>
        <w:tc>
          <w:tcPr>
            <w:tcW w:w="188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color w:val="0000EE"/>
                <w:w w:val="95"/>
              </w:rPr>
              <w:t>DESCRIPTION OF WARRANTS</w:t>
            </w:r>
          </w:p>
        </w:tc>
        <w:tc>
          <w:tcPr>
            <w:tcW w:w="9040" w:type="dxa"/>
            <w:vAlign w:val="bottom"/>
            <w:gridSpan w:val="5"/>
          </w:tcPr>
          <w:p>
            <w:pPr>
              <w:spacing w:after="0" w:line="20" w:lineRule="exact"/>
              <w:rPr>
                <w:sz w:val="1"/>
                <w:szCs w:val="1"/>
                <w:color w:val="auto"/>
              </w:rPr>
            </w:pPr>
          </w:p>
        </w:tc>
        <w:tc>
          <w:tcPr>
            <w:tcW w:w="1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880" w:type="dxa"/>
            <w:vAlign w:val="bottom"/>
            <w:tcBorders>
              <w:bottom w:val="single" w:sz="8" w:color="0000EE"/>
            </w:tcBorders>
            <w:gridSpan w:val="10"/>
            <w:vMerge w:val="continue"/>
          </w:tcPr>
          <w:p>
            <w:pPr>
              <w:spacing w:after="0"/>
              <w:rPr>
                <w:sz w:val="12"/>
                <w:szCs w:val="12"/>
                <w:color w:val="auto"/>
              </w:rPr>
            </w:pPr>
          </w:p>
        </w:tc>
        <w:tc>
          <w:tcPr>
            <w:tcW w:w="9040" w:type="dxa"/>
            <w:vAlign w:val="bottom"/>
            <w:gridSpan w:val="5"/>
          </w:tcPr>
          <w:p>
            <w:pPr>
              <w:spacing w:after="0"/>
              <w:rPr>
                <w:sz w:val="12"/>
                <w:szCs w:val="12"/>
                <w:color w:val="auto"/>
              </w:rPr>
            </w:pPr>
          </w:p>
        </w:tc>
        <w:tc>
          <w:tcPr>
            <w:tcW w:w="14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24</w:t>
            </w:r>
          </w:p>
        </w:tc>
        <w:tc>
          <w:tcPr>
            <w:tcW w:w="0" w:type="dxa"/>
            <w:vAlign w:val="bottom"/>
          </w:tcPr>
          <w:p>
            <w:pPr>
              <w:spacing w:after="0"/>
              <w:rPr>
                <w:sz w:val="1"/>
                <w:szCs w:val="1"/>
                <w:color w:val="auto"/>
              </w:rPr>
            </w:pPr>
          </w:p>
        </w:tc>
      </w:tr>
      <w:tr>
        <w:trPr>
          <w:trHeight w:val="20"/>
        </w:trPr>
        <w:tc>
          <w:tcPr>
            <w:tcW w:w="154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0000EE"/>
                <w:w w:val="96"/>
              </w:rPr>
              <w:t>DESCRIPTION OF UNITS</w:t>
            </w:r>
          </w:p>
        </w:tc>
        <w:tc>
          <w:tcPr>
            <w:tcW w:w="20" w:type="dxa"/>
            <w:vAlign w:val="bottom"/>
          </w:tcPr>
          <w:p>
            <w:pPr>
              <w:spacing w:after="0" w:line="20" w:lineRule="exact"/>
              <w:rPr>
                <w:sz w:val="1"/>
                <w:szCs w:val="1"/>
                <w:color w:val="auto"/>
              </w:rPr>
            </w:pPr>
          </w:p>
        </w:tc>
        <w:tc>
          <w:tcPr>
            <w:tcW w:w="9360" w:type="dxa"/>
            <w:vAlign w:val="bottom"/>
            <w:gridSpan w:val="7"/>
          </w:tcPr>
          <w:p>
            <w:pPr>
              <w:spacing w:after="0" w:line="20" w:lineRule="exact"/>
              <w:rPr>
                <w:sz w:val="1"/>
                <w:szCs w:val="1"/>
                <w:color w:val="auto"/>
              </w:rPr>
            </w:pPr>
          </w:p>
        </w:tc>
        <w:tc>
          <w:tcPr>
            <w:tcW w:w="1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540" w:type="dxa"/>
            <w:vAlign w:val="bottom"/>
            <w:tcBorders>
              <w:bottom w:val="single" w:sz="8" w:color="0000EE"/>
            </w:tcBorders>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gridSpan w:val="7"/>
          </w:tcPr>
          <w:p>
            <w:pPr>
              <w:spacing w:after="0"/>
              <w:rPr>
                <w:sz w:val="12"/>
                <w:szCs w:val="12"/>
                <w:color w:val="auto"/>
              </w:rPr>
            </w:pPr>
          </w:p>
        </w:tc>
        <w:tc>
          <w:tcPr>
            <w:tcW w:w="14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25</w:t>
            </w:r>
          </w:p>
        </w:tc>
        <w:tc>
          <w:tcPr>
            <w:tcW w:w="0" w:type="dxa"/>
            <w:vAlign w:val="bottom"/>
          </w:tcPr>
          <w:p>
            <w:pPr>
              <w:spacing w:after="0"/>
              <w:rPr>
                <w:sz w:val="1"/>
                <w:szCs w:val="1"/>
                <w:color w:val="auto"/>
              </w:rPr>
            </w:pPr>
          </w:p>
        </w:tc>
      </w:tr>
      <w:tr>
        <w:trPr>
          <w:trHeight w:val="20"/>
        </w:trPr>
        <w:tc>
          <w:tcPr>
            <w:tcW w:w="156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0000EE"/>
                <w:w w:val="96"/>
              </w:rPr>
              <w:t>PLAN OF DISTRIBUTION</w:t>
            </w:r>
          </w:p>
        </w:tc>
        <w:tc>
          <w:tcPr>
            <w:tcW w:w="9360" w:type="dxa"/>
            <w:vAlign w:val="bottom"/>
            <w:gridSpan w:val="7"/>
          </w:tcPr>
          <w:p>
            <w:pPr>
              <w:spacing w:after="0" w:line="20" w:lineRule="exact"/>
              <w:rPr>
                <w:sz w:val="1"/>
                <w:szCs w:val="1"/>
                <w:color w:val="auto"/>
              </w:rPr>
            </w:pPr>
          </w:p>
        </w:tc>
        <w:tc>
          <w:tcPr>
            <w:tcW w:w="1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560" w:type="dxa"/>
            <w:vAlign w:val="bottom"/>
            <w:tcBorders>
              <w:bottom w:val="single" w:sz="8" w:color="0000EE"/>
            </w:tcBorders>
            <w:gridSpan w:val="8"/>
            <w:vMerge w:val="continue"/>
          </w:tcPr>
          <w:p>
            <w:pPr>
              <w:spacing w:after="0"/>
              <w:rPr>
                <w:sz w:val="12"/>
                <w:szCs w:val="12"/>
                <w:color w:val="auto"/>
              </w:rPr>
            </w:pPr>
          </w:p>
        </w:tc>
        <w:tc>
          <w:tcPr>
            <w:tcW w:w="9360" w:type="dxa"/>
            <w:vAlign w:val="bottom"/>
            <w:gridSpan w:val="7"/>
          </w:tcPr>
          <w:p>
            <w:pPr>
              <w:spacing w:after="0"/>
              <w:rPr>
                <w:sz w:val="12"/>
                <w:szCs w:val="12"/>
                <w:color w:val="auto"/>
              </w:rPr>
            </w:pPr>
          </w:p>
        </w:tc>
        <w:tc>
          <w:tcPr>
            <w:tcW w:w="14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26</w:t>
            </w:r>
          </w:p>
        </w:tc>
        <w:tc>
          <w:tcPr>
            <w:tcW w:w="0" w:type="dxa"/>
            <w:vAlign w:val="bottom"/>
          </w:tcPr>
          <w:p>
            <w:pPr>
              <w:spacing w:after="0"/>
              <w:rPr>
                <w:sz w:val="1"/>
                <w:szCs w:val="1"/>
                <w:color w:val="auto"/>
              </w:rPr>
            </w:pPr>
          </w:p>
        </w:tc>
      </w:tr>
      <w:tr>
        <w:trPr>
          <w:trHeight w:val="20"/>
        </w:trPr>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0000EE"/>
                <w:w w:val="94"/>
              </w:rPr>
              <w:t>LEGAL MATTERS</w:t>
            </w:r>
          </w:p>
        </w:tc>
        <w:tc>
          <w:tcPr>
            <w:tcW w:w="9820" w:type="dxa"/>
            <w:vAlign w:val="bottom"/>
            <w:gridSpan w:val="11"/>
          </w:tcPr>
          <w:p>
            <w:pPr>
              <w:spacing w:after="0" w:line="20" w:lineRule="exact"/>
              <w:rPr>
                <w:sz w:val="1"/>
                <w:szCs w:val="1"/>
                <w:color w:val="auto"/>
              </w:rPr>
            </w:pPr>
          </w:p>
        </w:tc>
        <w:tc>
          <w:tcPr>
            <w:tcW w:w="1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00" w:type="dxa"/>
            <w:vAlign w:val="bottom"/>
            <w:tcBorders>
              <w:bottom w:val="single" w:sz="8" w:color="0000EE"/>
            </w:tcBorders>
            <w:gridSpan w:val="4"/>
            <w:vMerge w:val="continue"/>
          </w:tcPr>
          <w:p>
            <w:pPr>
              <w:spacing w:after="0"/>
              <w:rPr>
                <w:sz w:val="12"/>
                <w:szCs w:val="12"/>
                <w:color w:val="auto"/>
              </w:rPr>
            </w:pPr>
          </w:p>
        </w:tc>
        <w:tc>
          <w:tcPr>
            <w:tcW w:w="9820" w:type="dxa"/>
            <w:vAlign w:val="bottom"/>
            <w:gridSpan w:val="11"/>
          </w:tcPr>
          <w:p>
            <w:pPr>
              <w:spacing w:after="0"/>
              <w:rPr>
                <w:sz w:val="12"/>
                <w:szCs w:val="12"/>
                <w:color w:val="auto"/>
              </w:rPr>
            </w:pPr>
          </w:p>
        </w:tc>
        <w:tc>
          <w:tcPr>
            <w:tcW w:w="14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28</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4"/>
                <w:szCs w:val="14"/>
                <w:color w:val="0000EE"/>
                <w:w w:val="92"/>
              </w:rPr>
              <w:t>EXPERTS</w:t>
            </w:r>
          </w:p>
        </w:tc>
        <w:tc>
          <w:tcPr>
            <w:tcW w:w="10340" w:type="dxa"/>
            <w:vAlign w:val="bottom"/>
            <w:gridSpan w:val="14"/>
          </w:tcPr>
          <w:p>
            <w:pPr>
              <w:spacing w:after="0" w:line="20" w:lineRule="exact"/>
              <w:rPr>
                <w:sz w:val="1"/>
                <w:szCs w:val="1"/>
                <w:color w:val="auto"/>
              </w:rPr>
            </w:pPr>
          </w:p>
        </w:tc>
        <w:tc>
          <w:tcPr>
            <w:tcW w:w="1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80" w:type="dxa"/>
            <w:vAlign w:val="bottom"/>
            <w:tcBorders>
              <w:bottom w:val="single" w:sz="8" w:color="0000EE"/>
            </w:tcBorders>
            <w:vMerge w:val="continue"/>
          </w:tcPr>
          <w:p>
            <w:pPr>
              <w:spacing w:after="0"/>
              <w:rPr>
                <w:sz w:val="12"/>
                <w:szCs w:val="12"/>
                <w:color w:val="auto"/>
              </w:rPr>
            </w:pPr>
          </w:p>
        </w:tc>
        <w:tc>
          <w:tcPr>
            <w:tcW w:w="10340" w:type="dxa"/>
            <w:vAlign w:val="bottom"/>
            <w:gridSpan w:val="14"/>
          </w:tcPr>
          <w:p>
            <w:pPr>
              <w:spacing w:after="0"/>
              <w:rPr>
                <w:sz w:val="12"/>
                <w:szCs w:val="12"/>
                <w:color w:val="auto"/>
              </w:rPr>
            </w:pPr>
          </w:p>
        </w:tc>
        <w:tc>
          <w:tcPr>
            <w:tcW w:w="14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28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60"/>
          </w:cols>
          <w:pgMar w:left="280" w:top="1440" w:right="5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1" w:lineRule="exact"/>
        <w:rPr>
          <w:sz w:val="20"/>
          <w:szCs w:val="20"/>
          <w:color w:val="auto"/>
        </w:rPr>
      </w:pPr>
    </w:p>
    <w:p>
      <w:pPr>
        <w:ind w:firstLine="335"/>
        <w:spacing w:after="0" w:line="247"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U.S. Securities and Exchange Commission (the “SEC”), using a “shelf” registration process. By using a shelf registration statement, we may sell securities from time to time and in one or more offerings up to a total dollar amount of $500 million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52" w:lineRule="exact"/>
        <w:rPr>
          <w:sz w:val="20"/>
          <w:szCs w:val="20"/>
          <w:color w:val="auto"/>
        </w:rPr>
      </w:pPr>
    </w:p>
    <w:p>
      <w:pPr>
        <w:ind w:firstLine="335"/>
        <w:spacing w:after="0" w:line="246"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54" w:lineRule="exact"/>
        <w:rPr>
          <w:sz w:val="20"/>
          <w:szCs w:val="20"/>
          <w:color w:val="auto"/>
        </w:rPr>
      </w:pPr>
    </w:p>
    <w:p>
      <w:pPr>
        <w:ind w:right="180" w:firstLine="335"/>
        <w:spacing w:after="0" w:line="266" w:lineRule="auto"/>
        <w:rPr>
          <w:sz w:val="20"/>
          <w:szCs w:val="20"/>
          <w:color w:val="auto"/>
        </w:rPr>
      </w:pPr>
      <w:r>
        <w:rPr>
          <w:rFonts w:ascii="Times New Roman" w:cs="Times New Roman" w:eastAsia="Times New Roman" w:hAnsi="Times New Roman"/>
          <w:sz w:val="14"/>
          <w:szCs w:val="14"/>
          <w:color w:val="auto"/>
        </w:rPr>
        <w:t>When we refer to “Crescent,” “we,” “our,” “us” and the “Company” in this prospectus, we mean Crescent Biopharma, Inc. and our subsidiaries, unless otherwise specified. When we refer to “you,” we mean the potential holders of the applicable series of securities.</w:t>
      </w:r>
    </w:p>
    <w:p>
      <w:pPr>
        <w:spacing w:after="0" w:line="13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 xml:space="preserve">We use our trademarks and service marks in this prospectus, as well as trademarks, tradenames and service marks that are the property of other organizations. Solely for convenience, trademarks and tradenames referred to in this prospectus appear without the </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108" w:right="31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STATEMENT CONCERNING FORWARD-LOOKING STATEMENTS</w:t>
      </w:r>
    </w:p>
    <w:p>
      <w:pPr>
        <w:spacing w:after="0" w:line="171" w:lineRule="exact"/>
        <w:rPr>
          <w:sz w:val="20"/>
          <w:szCs w:val="20"/>
          <w:color w:val="auto"/>
        </w:rPr>
      </w:pPr>
    </w:p>
    <w:p>
      <w:pPr>
        <w:ind w:right="220" w:firstLine="335"/>
        <w:spacing w:after="0" w:line="284" w:lineRule="auto"/>
        <w:rPr>
          <w:sz w:val="20"/>
          <w:szCs w:val="20"/>
          <w:color w:val="auto"/>
        </w:rPr>
      </w:pPr>
      <w:r>
        <w:rPr>
          <w:rFonts w:ascii="Times New Roman" w:cs="Times New Roman" w:eastAsia="Times New Roman" w:hAnsi="Times New Roman"/>
          <w:sz w:val="13"/>
          <w:szCs w:val="13"/>
          <w:color w:val="auto"/>
        </w:rPr>
        <w:t>This prospectus contains “forward-looking statements” within the meaning of Section 27A of the Securities Act of 1933, as amended (the “Securities Act”), and Section 21E of the Securities Exchange Act of 1934, as amended (the “Exchange Act”).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w:t>
      </w:r>
    </w:p>
    <w:p>
      <w:pPr>
        <w:spacing w:after="0" w:line="126" w:lineRule="exact"/>
        <w:rPr>
          <w:sz w:val="20"/>
          <w:szCs w:val="20"/>
          <w:color w:val="auto"/>
        </w:rPr>
      </w:pPr>
    </w:p>
    <w:p>
      <w:pPr>
        <w:ind w:firstLine="335"/>
        <w:spacing w:after="0" w:line="247" w:lineRule="auto"/>
        <w:rPr>
          <w:sz w:val="20"/>
          <w:szCs w:val="20"/>
          <w:color w:val="auto"/>
        </w:rPr>
      </w:pPr>
      <w:r>
        <w:rPr>
          <w:rFonts w:ascii="Times New Roman" w:cs="Times New Roman" w:eastAsia="Times New Roman" w:hAnsi="Times New Roman"/>
          <w:sz w:val="14"/>
          <w:szCs w:val="14"/>
          <w:color w:val="auto"/>
        </w:rPr>
        <w:t>All statements, other than statements of historical facts contained in this prospectus, including, without limitation, statements regarding our future results of operations and financial position, business strategy, the length of time that we believe our existing cash resources will fund our operations, our market size, our potential growth opportunities, our preclinical and future clinical development activities, the efficacy and safety profile of our product candidates, the potential therapeutic benefits and economic value of our product candidates, the timing and results of preclinical studies and clinical trials, the expected impact of macroeconomic conditions, including inflation, increasing interest rates and volatile market conditions, as well as global events, including military conflicts and geopolitical tensions on our operations, and the receipt and timing of potential regulatory designations, approvals and commercialization of product candidates, are forward-looking statements. Forward-looking statements generally relate to future events or our future financial or operating performance.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152" w:lineRule="exact"/>
        <w:rPr>
          <w:sz w:val="20"/>
          <w:szCs w:val="20"/>
          <w:color w:val="auto"/>
        </w:rPr>
      </w:pPr>
    </w:p>
    <w:p>
      <w:pPr>
        <w:ind w:right="180" w:firstLine="335"/>
        <w:spacing w:after="0" w:line="249" w:lineRule="auto"/>
        <w:rPr>
          <w:sz w:val="20"/>
          <w:szCs w:val="20"/>
          <w:color w:val="auto"/>
        </w:rPr>
      </w:pPr>
      <w:r>
        <w:rPr>
          <w:rFonts w:ascii="Times New Roman" w:cs="Times New Roman" w:eastAsia="Times New Roman" w:hAnsi="Times New Roman"/>
          <w:sz w:val="14"/>
          <w:szCs w:val="14"/>
          <w:color w:val="auto"/>
        </w:rPr>
        <w:t>These forward-looking statements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Factors that might cause such a difference are disclosed in the sections titled “Risk Factors” in this prospectus and in the documents incorporated by reference in this prospectus and any applicable prospectus supplement. You should evaluate all forward-looking statements made in this prospectus in the context of these risks and uncertainties. We caution you that the risks, uncertainties and other factors referred to in this prospectus may not contain all of the risks, uncertainties and other factors that may affect our future results and operations.</w:t>
      </w:r>
    </w:p>
    <w:p>
      <w:pPr>
        <w:spacing w:after="0" w:line="147" w:lineRule="exact"/>
        <w:rPr>
          <w:sz w:val="20"/>
          <w:szCs w:val="20"/>
          <w:color w:val="auto"/>
        </w:rPr>
      </w:pPr>
    </w:p>
    <w:p>
      <w:pPr>
        <w:ind w:right="100" w:firstLine="335"/>
        <w:spacing w:after="0" w:line="284" w:lineRule="auto"/>
        <w:rPr>
          <w:sz w:val="20"/>
          <w:szCs w:val="20"/>
          <w:color w:val="auto"/>
        </w:rPr>
      </w:pPr>
      <w:r>
        <w:rPr>
          <w:rFonts w:ascii="Times New Roman" w:cs="Times New Roman" w:eastAsia="Times New Roman" w:hAnsi="Times New Roman"/>
          <w:sz w:val="13"/>
          <w:szCs w:val="13"/>
          <w:color w:val="auto"/>
        </w:rPr>
        <w:t>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6" w:lineRule="exact"/>
        <w:rPr>
          <w:sz w:val="20"/>
          <w:szCs w:val="20"/>
          <w:color w:val="auto"/>
        </w:rPr>
      </w:pPr>
    </w:p>
    <w:p>
      <w:pPr>
        <w:ind w:right="20" w:firstLine="335"/>
        <w:spacing w:after="0" w:line="275" w:lineRule="auto"/>
        <w:rPr>
          <w:sz w:val="20"/>
          <w:szCs w:val="20"/>
          <w:color w:val="auto"/>
        </w:rPr>
      </w:pPr>
      <w:r>
        <w:rPr>
          <w:rFonts w:ascii="Times New Roman" w:cs="Times New Roman" w:eastAsia="Times New Roman" w:hAnsi="Times New Roman"/>
          <w:sz w:val="13"/>
          <w:szCs w:val="13"/>
          <w:color w:val="auto"/>
        </w:rPr>
        <w:t>This prospectus contains or incorporates by reference estimates, projections and other information concerning our industry, our business and the potential markets for our product candidates, including data regarding the estimated size of such markets and the incidence of certain medical conditions. We obtained the industry, market and competitive position data set forth in this prospectus from our own internal estimates and research, as well as from academic and industry publications,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the</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industry and market, which we believe to be reasonable. In some cases, we do not expressly refer to the sources from which this data is derived. We believe that the third-party data set forth in this prospectus is reliable and based on reasonable assumptions. This information, to the extent it contains estimates or projections involves a number of assumptions and limitations, and you are cautioned not to give undue weight to such estimates or projections. The industry in which we operate is subject to risks and uncertainties and is subject to change based on various factors, including those set forth under the section titled “Risk Factors” included in this prospectus. These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436"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auto"/>
        </w:rPr>
        <w:t>could cause results to differ materially from those expressed in the estimates made by the independent parties and by us.</w:t>
      </w:r>
    </w:p>
    <w:p>
      <w:pPr>
        <w:spacing w:after="0" w:line="167" w:lineRule="exact"/>
        <w:rPr>
          <w:sz w:val="20"/>
          <w:szCs w:val="20"/>
          <w:color w:val="auto"/>
        </w:rPr>
      </w:pPr>
    </w:p>
    <w:p>
      <w:pPr>
        <w:ind w:right="160" w:firstLine="335"/>
        <w:spacing w:after="0" w:line="252" w:lineRule="auto"/>
        <w:rPr>
          <w:sz w:val="20"/>
          <w:szCs w:val="20"/>
          <w:color w:val="auto"/>
        </w:rPr>
      </w:pPr>
      <w:r>
        <w:rPr>
          <w:rFonts w:ascii="Times New Roman" w:cs="Times New Roman" w:eastAsia="Times New Roman" w:hAnsi="Times New Roman"/>
          <w:sz w:val="14"/>
          <w:szCs w:val="14"/>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 INCORPORATION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89" w:lineRule="exact"/>
        <w:rPr>
          <w:sz w:val="20"/>
          <w:szCs w:val="20"/>
          <w:color w:val="auto"/>
        </w:rPr>
      </w:pPr>
    </w:p>
    <w:p>
      <w:pPr>
        <w:ind w:right="120" w:firstLine="335"/>
        <w:spacing w:after="0" w:line="266" w:lineRule="auto"/>
        <w:rPr>
          <w:sz w:val="20"/>
          <w:szCs w:val="20"/>
          <w:color w:val="auto"/>
        </w:rPr>
      </w:pPr>
      <w:r>
        <w:rPr>
          <w:rFonts w:ascii="Times New Roman" w:cs="Times New Roman" w:eastAsia="Times New Roman" w:hAnsi="Times New Roman"/>
          <w:sz w:val="14"/>
          <w:szCs w:val="14"/>
          <w:color w:val="auto"/>
        </w:rPr>
        <w:t>We file reports, proxy statements and other information with the SEC. The SEC maintains a website that contains reports, proxy and information statements and other information about issuers, such as us, who file electronically with the SEC. The address of that website is http://www.sec.gov.</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Our website address is www.crescentbiopharma.com. The information on our website, however, is not, and should not be deemed to be, a part of this prospectus.</w:t>
      </w:r>
    </w:p>
    <w:p>
      <w:pPr>
        <w:spacing w:after="0" w:line="167" w:lineRule="exact"/>
        <w:rPr>
          <w:sz w:val="20"/>
          <w:szCs w:val="20"/>
          <w:color w:val="auto"/>
        </w:rPr>
      </w:pPr>
    </w:p>
    <w:p>
      <w:pPr>
        <w:ind w:firstLine="335"/>
        <w:spacing w:after="0" w:line="250" w:lineRule="auto"/>
        <w:rPr>
          <w:sz w:val="20"/>
          <w:szCs w:val="20"/>
          <w:color w:val="auto"/>
        </w:rPr>
      </w:pPr>
      <w:r>
        <w:rPr>
          <w:rFonts w:ascii="Times New Roman" w:cs="Times New Roman" w:eastAsia="Times New Roman" w:hAnsi="Times New Roman"/>
          <w:sz w:val="14"/>
          <w:szCs w:val="14"/>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89" w:lineRule="exact"/>
        <w:rPr>
          <w:sz w:val="20"/>
          <w:szCs w:val="20"/>
          <w:color w:val="auto"/>
        </w:rPr>
      </w:pPr>
    </w:p>
    <w:p>
      <w:pPr>
        <w:ind w:right="200" w:firstLine="335"/>
        <w:spacing w:after="0" w:line="252" w:lineRule="auto"/>
        <w:rPr>
          <w:sz w:val="20"/>
          <w:szCs w:val="20"/>
          <w:color w:val="auto"/>
        </w:rPr>
      </w:pPr>
      <w:r>
        <w:rPr>
          <w:rFonts w:ascii="Times New Roman" w:cs="Times New Roman" w:eastAsia="Times New Roman" w:hAnsi="Times New Roman"/>
          <w:sz w:val="14"/>
          <w:szCs w:val="14"/>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45" w:lineRule="exact"/>
        <w:rPr>
          <w:sz w:val="20"/>
          <w:szCs w:val="20"/>
          <w:color w:val="auto"/>
        </w:rPr>
      </w:pPr>
    </w:p>
    <w:p>
      <w:pPr>
        <w:jc w:val="both"/>
        <w:ind w:right="160" w:firstLine="335"/>
        <w:spacing w:after="0" w:line="255"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incorporate by reference the documents set forth below that have previously been filed with the SEC (except for information in these documents or filings that is deemed “furnished” and not “filed” in accordance with the SEC rules, including pursuant to Item 2.02 or 7.01 of Form 8-K, or corresponding information furnished under Item 9.01 as an exhibit, and no such information shall be deemed specifically incorporated by reference herein or in any accompanying prospectus supplement):</w:t>
      </w:r>
    </w:p>
    <w:p>
      <w:pPr>
        <w:spacing w:after="0" w:line="102" w:lineRule="exact"/>
        <w:rPr>
          <w:sz w:val="20"/>
          <w:szCs w:val="20"/>
          <w:color w:val="auto"/>
        </w:rPr>
      </w:pPr>
    </w:p>
    <w:p>
      <w:pPr>
        <w:ind w:left="280" w:hanging="193"/>
        <w:spacing w:after="0"/>
        <w:tabs>
          <w:tab w:leader="none" w:pos="2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10">
        <w:r>
          <w:rPr>
            <w:rFonts w:ascii="Times New Roman" w:cs="Times New Roman" w:eastAsia="Times New Roman" w:hAnsi="Times New Roman"/>
            <w:sz w:val="14"/>
            <w:szCs w:val="14"/>
            <w:u w:val="single" w:color="auto"/>
            <w:color w:val="0000FF"/>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February 26, 2026;</w:t>
      </w:r>
    </w:p>
    <w:p>
      <w:pPr>
        <w:spacing w:after="0" w:line="208" w:lineRule="exact"/>
        <w:rPr>
          <w:rFonts w:ascii="Times New Roman" w:cs="Times New Roman" w:eastAsia="Times New Roman" w:hAnsi="Times New Roman"/>
          <w:sz w:val="14"/>
          <w:szCs w:val="14"/>
          <w:color w:val="auto"/>
        </w:rPr>
      </w:pPr>
    </w:p>
    <w:p>
      <w:pPr>
        <w:ind w:left="280" w:right="220" w:hanging="193"/>
        <w:spacing w:after="0" w:line="230" w:lineRule="auto"/>
        <w:tabs>
          <w:tab w:leader="none" w:pos="2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11">
        <w:r>
          <w:rPr>
            <w:rFonts w:ascii="Times New Roman" w:cs="Times New Roman" w:eastAsia="Times New Roman" w:hAnsi="Times New Roman"/>
            <w:sz w:val="14"/>
            <w:szCs w:val="14"/>
            <w:u w:val="single" w:color="auto"/>
            <w:color w:val="0000FF"/>
          </w:rPr>
          <w:t xml:space="preserve">Form </w:t>
        </w:r>
      </w:hyperlink>
      <w:r>
        <w:rPr>
          <w:rFonts w:ascii="Times New Roman" w:cs="Times New Roman" w:eastAsia="Times New Roman" w:hAnsi="Times New Roman"/>
          <w:sz w:val="14"/>
          <w:szCs w:val="14"/>
          <w:color w:val="auto"/>
        </w:rPr>
        <w:t>10</w:t>
      </w:r>
      <w:hyperlink r:id="rId11">
        <w:r>
          <w:rPr>
            <w:rFonts w:ascii="Times New Roman" w:cs="Times New Roman" w:eastAsia="Times New Roman" w:hAnsi="Times New Roman"/>
            <w:sz w:val="14"/>
            <w:szCs w:val="14"/>
            <w:u w:val="single" w:color="auto"/>
            <w:color w:val="0000FF"/>
          </w:rPr>
          <w:t>-Q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quarter ended March 31, 2026, filed with the SEC on April 29, 2026, as amended by </w:t>
      </w:r>
      <w:hyperlink r:id="rId12">
        <w:r>
          <w:rPr>
            <w:rFonts w:ascii="Times New Roman" w:cs="Times New Roman" w:eastAsia="Times New Roman" w:hAnsi="Times New Roman"/>
            <w:sz w:val="14"/>
            <w:szCs w:val="14"/>
            <w:u w:val="single" w:color="auto"/>
            <w:color w:val="0000FF"/>
          </w:rPr>
          <w:t>Amendment No. 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Quarterly Report on Form 10-Q, filed with the SEC on June 22, 2026;</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4"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276" w:right="319" w:bottom="1440" w:gutter="0" w:footer="0" w:header="0"/>
        </w:sectPr>
      </w:pPr>
    </w:p>
    <w:bookmarkStart w:id="9" w:name="page10"/>
    <w:bookmarkEnd w:id="9"/>
    <w:p>
      <w:pPr>
        <w:ind w:left="280" w:hanging="193"/>
        <w:spacing w:after="0"/>
        <w:tabs>
          <w:tab w:leader="none" w:pos="2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Form 10-K from our Definitive Proxy Statement on </w:t>
      </w:r>
      <w:hyperlink r:id="rId13">
        <w:r>
          <w:rPr>
            <w:rFonts w:ascii="Times New Roman" w:cs="Times New Roman" w:eastAsia="Times New Roman" w:hAnsi="Times New Roman"/>
            <w:sz w:val="14"/>
            <w:szCs w:val="14"/>
            <w:u w:val="single" w:color="auto"/>
            <w:color w:val="0000FF"/>
          </w:rPr>
          <w:t>Schedule 14A</w:t>
        </w:r>
      </w:hyperlink>
      <w:r>
        <w:rPr>
          <w:rFonts w:ascii="Times New Roman" w:cs="Times New Roman" w:eastAsia="Times New Roman" w:hAnsi="Times New Roman"/>
          <w:sz w:val="14"/>
          <w:szCs w:val="14"/>
          <w:color w:val="auto"/>
        </w:rPr>
        <w:t>, filed with the SEC on April 21, 2026;</w:t>
      </w:r>
    </w:p>
    <w:p>
      <w:pPr>
        <w:spacing w:after="0" w:line="198" w:lineRule="exact"/>
        <w:rPr>
          <w:rFonts w:ascii="Times New Roman" w:cs="Times New Roman" w:eastAsia="Times New Roman" w:hAnsi="Times New Roman"/>
          <w:sz w:val="14"/>
          <w:szCs w:val="14"/>
          <w:color w:val="auto"/>
        </w:rPr>
      </w:pPr>
    </w:p>
    <w:p>
      <w:pPr>
        <w:ind w:left="340" w:hanging="232"/>
        <w:spacing w:after="0"/>
        <w:tabs>
          <w:tab w:leader="none" w:pos="34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 on </w:t>
      </w:r>
      <w:hyperlink r:id="rId14">
        <w:r>
          <w:rPr>
            <w:rFonts w:ascii="Times New Roman" w:cs="Times New Roman" w:eastAsia="Times New Roman" w:hAnsi="Times New Roman"/>
            <w:sz w:val="14"/>
            <w:szCs w:val="14"/>
            <w:u w:val="single" w:color="auto"/>
            <w:color w:val="0000FF"/>
          </w:rPr>
          <w:t>Form 8-K</w:t>
        </w:r>
      </w:hyperlink>
      <w:r>
        <w:rPr>
          <w:rFonts w:ascii="Times New Roman" w:cs="Times New Roman" w:eastAsia="Times New Roman" w:hAnsi="Times New Roman"/>
          <w:sz w:val="14"/>
          <w:szCs w:val="14"/>
          <w:color w:val="auto"/>
        </w:rPr>
        <w:t>, filed with the SEC on June 3, 2026; and</w:t>
      </w:r>
    </w:p>
    <w:p>
      <w:pPr>
        <w:spacing w:after="0" w:line="208" w:lineRule="exact"/>
        <w:rPr>
          <w:rFonts w:ascii="Times New Roman" w:cs="Times New Roman" w:eastAsia="Times New Roman" w:hAnsi="Times New Roman"/>
          <w:sz w:val="14"/>
          <w:szCs w:val="14"/>
          <w:color w:val="auto"/>
        </w:rPr>
      </w:pPr>
    </w:p>
    <w:p>
      <w:pPr>
        <w:ind w:left="280" w:right="300" w:hanging="193"/>
        <w:spacing w:after="0" w:line="230" w:lineRule="auto"/>
        <w:tabs>
          <w:tab w:leader="none" w:pos="2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securities contained in our registration statement on </w:t>
      </w:r>
      <w:hyperlink r:id="rId15">
        <w:r>
          <w:rPr>
            <w:rFonts w:ascii="Times New Roman" w:cs="Times New Roman" w:eastAsia="Times New Roman" w:hAnsi="Times New Roman"/>
            <w:sz w:val="14"/>
            <w:szCs w:val="14"/>
            <w:u w:val="single" w:color="auto"/>
            <w:color w:val="0000FF"/>
          </w:rPr>
          <w:t>Form 8A12B/A</w:t>
        </w:r>
      </w:hyperlink>
      <w:r>
        <w:rPr>
          <w:rFonts w:ascii="Times New Roman" w:cs="Times New Roman" w:eastAsia="Times New Roman" w:hAnsi="Times New Roman"/>
          <w:sz w:val="14"/>
          <w:szCs w:val="14"/>
          <w:color w:val="auto"/>
        </w:rPr>
        <w:t xml:space="preserve">, filed with the SEC on November 6, 2025, including any amendment or report filed with the SEC for the purpose of updating the description, including </w:t>
      </w:r>
      <w:hyperlink r:id="rId16">
        <w:r>
          <w:rPr>
            <w:rFonts w:ascii="Times New Roman" w:cs="Times New Roman" w:eastAsia="Times New Roman" w:hAnsi="Times New Roman"/>
            <w:sz w:val="14"/>
            <w:szCs w:val="14"/>
            <w:u w:val="single" w:color="auto"/>
            <w:color w:val="0000FF"/>
          </w:rPr>
          <w:t>Exhibit 4.3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2025, filed with the SEC on February 26, 2026.</w:t>
      </w:r>
    </w:p>
    <w:p>
      <w:pPr>
        <w:spacing w:after="0" w:line="143" w:lineRule="exact"/>
        <w:rPr>
          <w:rFonts w:ascii="Times New Roman" w:cs="Times New Roman" w:eastAsia="Times New Roman" w:hAnsi="Times New Roman"/>
          <w:sz w:val="14"/>
          <w:szCs w:val="14"/>
          <w:color w:val="auto"/>
        </w:rPr>
      </w:pPr>
    </w:p>
    <w:p>
      <w:pPr>
        <w:ind w:firstLine="335"/>
        <w:spacing w:after="0" w:line="250" w:lineRule="auto"/>
        <w:rPr>
          <w:sz w:val="20"/>
          <w:szCs w:val="20"/>
          <w:color w:val="auto"/>
        </w:rPr>
      </w:pPr>
      <w:r>
        <w:rPr>
          <w:rFonts w:ascii="Times New Roman" w:cs="Times New Roman" w:eastAsia="Times New Roman" w:hAnsi="Times New Roman"/>
          <w:sz w:val="14"/>
          <w:szCs w:val="14"/>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 w:lineRule="exact"/>
        <w:rPr>
          <w:rFonts w:ascii="Times New Roman" w:cs="Times New Roman" w:eastAsia="Times New Roman" w:hAnsi="Times New Roman"/>
          <w:sz w:val="14"/>
          <w:szCs w:val="14"/>
          <w:color w:val="auto"/>
        </w:rPr>
      </w:pPr>
    </w:p>
    <w:p>
      <w:pPr>
        <w:ind w:left="340"/>
        <w:spacing w:after="0"/>
        <w:rPr>
          <w:sz w:val="20"/>
          <w:szCs w:val="20"/>
          <w:color w:val="auto"/>
        </w:rPr>
      </w:pPr>
      <w:r>
        <w:rPr>
          <w:rFonts w:ascii="Times New Roman" w:cs="Times New Roman" w:eastAsia="Times New Roman" w:hAnsi="Times New Roman"/>
          <w:sz w:val="14"/>
          <w:szCs w:val="14"/>
          <w:color w:val="auto"/>
        </w:rPr>
        <w:t>You may request a free copy of any of the documents incorporated by reference in this prospectus by writing or telephoning us at the following address:</w:t>
      </w:r>
    </w:p>
    <w:p>
      <w:pPr>
        <w:spacing w:after="0" w:line="156" w:lineRule="exact"/>
        <w:rPr>
          <w:rFonts w:ascii="Times New Roman" w:cs="Times New Roman" w:eastAsia="Times New Roman" w:hAnsi="Times New Roman"/>
          <w:sz w:val="14"/>
          <w:szCs w:val="14"/>
          <w:color w:val="auto"/>
        </w:rPr>
      </w:pPr>
    </w:p>
    <w:p>
      <w:pPr>
        <w:ind w:left="4940"/>
        <w:spacing w:after="0"/>
        <w:rPr>
          <w:sz w:val="20"/>
          <w:szCs w:val="20"/>
          <w:color w:val="auto"/>
        </w:rPr>
      </w:pPr>
      <w:r>
        <w:rPr>
          <w:rFonts w:ascii="Times New Roman" w:cs="Times New Roman" w:eastAsia="Times New Roman" w:hAnsi="Times New Roman"/>
          <w:sz w:val="14"/>
          <w:szCs w:val="14"/>
          <w:color w:val="auto"/>
        </w:rPr>
        <w:t>Crescent Biopharma, Inc.</w:t>
      </w:r>
    </w:p>
    <w:p>
      <w:pPr>
        <w:spacing w:after="0" w:line="15" w:lineRule="exact"/>
        <w:rPr>
          <w:rFonts w:ascii="Times New Roman" w:cs="Times New Roman" w:eastAsia="Times New Roman" w:hAnsi="Times New Roman"/>
          <w:sz w:val="14"/>
          <w:szCs w:val="14"/>
          <w:color w:val="auto"/>
        </w:rPr>
      </w:pPr>
    </w:p>
    <w:p>
      <w:pPr>
        <w:ind w:left="4800"/>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3" w:lineRule="exact"/>
        <w:rPr>
          <w:rFonts w:ascii="Times New Roman" w:cs="Times New Roman" w:eastAsia="Times New Roman" w:hAnsi="Times New Roman"/>
          <w:sz w:val="14"/>
          <w:szCs w:val="14"/>
          <w:color w:val="auto"/>
        </w:rPr>
      </w:pPr>
    </w:p>
    <w:p>
      <w:pPr>
        <w:ind w:left="5160"/>
        <w:spacing w:after="0"/>
        <w:rPr>
          <w:sz w:val="20"/>
          <w:szCs w:val="20"/>
          <w:color w:val="auto"/>
        </w:rPr>
      </w:pPr>
      <w:r>
        <w:rPr>
          <w:rFonts w:ascii="Times New Roman" w:cs="Times New Roman" w:eastAsia="Times New Roman" w:hAnsi="Times New Roman"/>
          <w:sz w:val="14"/>
          <w:szCs w:val="14"/>
          <w:color w:val="auto"/>
        </w:rPr>
        <w:t>300 Fifth Avenue</w:t>
      </w:r>
    </w:p>
    <w:p>
      <w:pPr>
        <w:spacing w:after="0" w:line="3" w:lineRule="exact"/>
        <w:rPr>
          <w:rFonts w:ascii="Times New Roman" w:cs="Times New Roman" w:eastAsia="Times New Roman" w:hAnsi="Times New Roman"/>
          <w:sz w:val="14"/>
          <w:szCs w:val="14"/>
          <w:color w:val="auto"/>
        </w:rPr>
      </w:pPr>
    </w:p>
    <w:p>
      <w:pPr>
        <w:ind w:left="5060"/>
        <w:spacing w:after="0"/>
        <w:rPr>
          <w:sz w:val="20"/>
          <w:szCs w:val="20"/>
          <w:color w:val="auto"/>
        </w:rPr>
      </w:pPr>
      <w:r>
        <w:rPr>
          <w:rFonts w:ascii="Times New Roman" w:cs="Times New Roman" w:eastAsia="Times New Roman" w:hAnsi="Times New Roman"/>
          <w:sz w:val="14"/>
          <w:szCs w:val="14"/>
          <w:color w:val="auto"/>
        </w:rPr>
        <w:t>Waltham, MA 02451</w:t>
      </w:r>
    </w:p>
    <w:p>
      <w:pPr>
        <w:spacing w:after="0" w:line="3" w:lineRule="exact"/>
        <w:rPr>
          <w:rFonts w:ascii="Times New Roman" w:cs="Times New Roman" w:eastAsia="Times New Roman" w:hAnsi="Times New Roman"/>
          <w:sz w:val="14"/>
          <w:szCs w:val="14"/>
          <w:color w:val="auto"/>
        </w:rPr>
      </w:pPr>
    </w:p>
    <w:p>
      <w:pPr>
        <w:ind w:left="5200"/>
        <w:spacing w:after="0"/>
        <w:rPr>
          <w:sz w:val="20"/>
          <w:szCs w:val="20"/>
          <w:color w:val="auto"/>
        </w:rPr>
      </w:pPr>
      <w:r>
        <w:rPr>
          <w:rFonts w:ascii="Times New Roman" w:cs="Times New Roman" w:eastAsia="Times New Roman" w:hAnsi="Times New Roman"/>
          <w:sz w:val="14"/>
          <w:szCs w:val="14"/>
          <w:color w:val="auto"/>
        </w:rPr>
        <w:t>(617) 430-5595</w:t>
      </w:r>
    </w:p>
    <w:p>
      <w:pPr>
        <w:spacing w:after="0" w:line="156" w:lineRule="exact"/>
        <w:rPr>
          <w:rFonts w:ascii="Times New Roman" w:cs="Times New Roman" w:eastAsia="Times New Roman" w:hAnsi="Times New Roman"/>
          <w:sz w:val="14"/>
          <w:szCs w:val="14"/>
          <w:color w:val="auto"/>
        </w:rPr>
      </w:pPr>
    </w:p>
    <w:p>
      <w:pPr>
        <w:ind w:left="340"/>
        <w:spacing w:after="0"/>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or any accompanying prospectus supplement.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78"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00" w:top="1142" w:right="3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89" w:lineRule="exact"/>
        <w:rPr>
          <w:sz w:val="20"/>
          <w:szCs w:val="20"/>
          <w:color w:val="auto"/>
        </w:rPr>
      </w:pPr>
    </w:p>
    <w:p>
      <w:pPr>
        <w:ind w:firstLine="335"/>
        <w:spacing w:after="0" w:line="249" w:lineRule="auto"/>
        <w:rPr>
          <w:sz w:val="20"/>
          <w:szCs w:val="20"/>
          <w:color w:val="auto"/>
        </w:rPr>
      </w:pPr>
      <w:r>
        <w:rPr>
          <w:rFonts w:ascii="Times New Roman" w:cs="Times New Roman" w:eastAsia="Times New Roman" w:hAnsi="Times New Roman"/>
          <w:sz w:val="14"/>
          <w:szCs w:val="14"/>
          <w:color w:val="auto"/>
        </w:rPr>
        <w:t>We are a clinical-stage biotechnology company focused on delivering the next wave of transformative therapies to bring a brighter future for people living with cancer. We have a bold vision to build the next leading biotechnology oncology company. We are executing across two distinct strategies to build our portfolio to achieve this vision. First, we are developing our lead product candidate, CR-001, which we refer to as a PD-1 x VEGF bispecific antibody because it is designed to bind both the PD-1 immune checkpoint and Vascular Endothelial Growth Factor, which has potential to replace pembrolizumab, marketed by Merck as Keytruda®, as the foundational immuno-oncology backbone; second, we are building a robust portfolio of potentially best-in-class antibody drug conjugates (“ADCs”). Importantly, as we execute on these two strategies, we intend to combine CR-001 and ADC therapies to create what we believe will be best-in-class synergistic combinations to transform care for multiple types of cancer.</w:t>
      </w:r>
    </w:p>
    <w:p>
      <w:pPr>
        <w:spacing w:after="0" w:line="65" w:lineRule="exact"/>
        <w:rPr>
          <w:sz w:val="20"/>
          <w:szCs w:val="20"/>
          <w:color w:val="auto"/>
        </w:rPr>
      </w:pPr>
    </w:p>
    <w:p>
      <w:pPr>
        <w:jc w:val="both"/>
        <w:ind w:right="160" w:firstLine="335"/>
        <w:spacing w:after="0" w:line="255" w:lineRule="auto"/>
        <w:rPr>
          <w:sz w:val="20"/>
          <w:szCs w:val="20"/>
          <w:color w:val="auto"/>
        </w:rPr>
      </w:pPr>
      <w:r>
        <w:rPr>
          <w:rFonts w:ascii="Times New Roman" w:cs="Times New Roman" w:eastAsia="Times New Roman" w:hAnsi="Times New Roman"/>
          <w:sz w:val="14"/>
          <w:szCs w:val="14"/>
          <w:color w:val="auto"/>
        </w:rPr>
        <w:t>We initiated a global Phase 1/2 trial of CR-001 in February 2026, and a Phase 1/2 trial of CR-003 (also referred to as SKB105), an integrin beta-6 (“ITGB6”)-directed ADC, as a monotherapy in the first quarter of 2026 in China through our partner, Sichuan Kelun-Biotech Biopharmaceutical Co., Ltd. (“Kelun”). In addition, we anticipate initiation of a monotherapy clinical trial of CR-002, a PD-L1-directed ADC with a topoisomerase payload, as well as the first ADC combination trial with CR-001 and a Kelun ADC in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89" w:lineRule="exact"/>
        <w:rPr>
          <w:sz w:val="20"/>
          <w:szCs w:val="20"/>
          <w:color w:val="auto"/>
        </w:rPr>
      </w:pPr>
    </w:p>
    <w:p>
      <w:pPr>
        <w:ind w:right="320" w:firstLine="335"/>
        <w:spacing w:after="0" w:line="255" w:lineRule="auto"/>
        <w:rPr>
          <w:sz w:val="20"/>
          <w:szCs w:val="20"/>
          <w:color w:val="auto"/>
        </w:rPr>
      </w:pPr>
      <w:r>
        <w:rPr>
          <w:rFonts w:ascii="Times New Roman" w:cs="Times New Roman" w:eastAsia="Times New Roman" w:hAnsi="Times New Roman"/>
          <w:sz w:val="14"/>
          <w:szCs w:val="14"/>
          <w:color w:val="auto"/>
        </w:rPr>
        <w:t>We were initially incorporated under the laws of the State of Delaware in 2003. Our company, formerly known as GlycoMimetics, Inc., is a biotechnology company that is the result of a reverse recapitalization transaction with a private company named Crescent Biopharma, Inc. (“Pre-Merger Crescent”). Prior to the reverse recapitalization transaction, Pre-Merger Crescent was established and incorporated under the laws of the State of Delaware on September 19, 2024. Pre-Merger Crescent was founded to research and develop cancer therapy candidates.</w:t>
      </w:r>
    </w:p>
    <w:p>
      <w:pPr>
        <w:spacing w:after="0" w:line="61" w:lineRule="exact"/>
        <w:rPr>
          <w:sz w:val="20"/>
          <w:szCs w:val="20"/>
          <w:color w:val="auto"/>
        </w:rPr>
      </w:pPr>
    </w:p>
    <w:p>
      <w:pPr>
        <w:ind w:right="20" w:firstLine="335"/>
        <w:spacing w:after="0" w:line="266" w:lineRule="auto"/>
        <w:rPr>
          <w:sz w:val="20"/>
          <w:szCs w:val="20"/>
          <w:color w:val="auto"/>
        </w:rPr>
      </w:pPr>
      <w:r>
        <w:rPr>
          <w:rFonts w:ascii="Times New Roman" w:cs="Times New Roman" w:eastAsia="Times New Roman" w:hAnsi="Times New Roman"/>
          <w:sz w:val="14"/>
          <w:szCs w:val="14"/>
          <w:color w:val="auto"/>
        </w:rPr>
        <w:t>On June 16, 2025, in connection with the reverse recapitalization transaction with Pre-Merger Crescent, we changed our jurisdiction of incorporation from the State of Delaware to the Cayman Islands pursuant to a plan of conversion.</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Our principal executive offices are located at 300 Fifth Avenue, Waltham, MA 02451, and our telephone number is (617) 430-5595.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272" w:right="319" w:bottom="1440" w:gutter="0" w:footer="0" w:header="0"/>
        </w:sectPr>
      </w:pPr>
    </w:p>
    <w:bookmarkStart w:id="11" w:name="page12"/>
    <w:bookmarkEnd w:id="11"/>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1" w:lineRule="exact"/>
        <w:rPr>
          <w:sz w:val="20"/>
          <w:szCs w:val="20"/>
          <w:color w:val="auto"/>
        </w:rPr>
      </w:pPr>
    </w:p>
    <w:p>
      <w:pPr>
        <w:ind w:firstLine="335"/>
        <w:spacing w:after="0" w:line="247" w:lineRule="auto"/>
        <w:rPr>
          <w:sz w:val="20"/>
          <w:szCs w:val="20"/>
          <w:color w:val="auto"/>
        </w:rPr>
      </w:pPr>
      <w:r>
        <w:rPr>
          <w:rFonts w:ascii="Times New Roman" w:cs="Times New Roman" w:eastAsia="Times New Roman" w:hAnsi="Times New Roman"/>
          <w:sz w:val="14"/>
          <w:szCs w:val="14"/>
          <w:color w:val="auto"/>
        </w:rPr>
        <w:t>Investment in any securities offered pursuant to this prospectus and the applicable prospectus supplement involves risks. You should carefully consider the risk factors incorporated by reference herein from our most recent Annual Report on Form 10-K and any subsequent Quarterly Reports on Form 10-Q or Current Reports on Form 8-K, including those we file after the date of this prospectus, and all other information contained in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more information, please see “Where You Can Find More Information; Incorporation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60"/>
          </w:cols>
          <w:pgMar w:left="300" w:top="1440" w:right="339" w:bottom="1440" w:gutter="0" w:footer="0" w:header="0"/>
        </w:sectPr>
      </w:pPr>
    </w:p>
    <w:bookmarkStart w:id="12" w:name="page13"/>
    <w:bookmarkEnd w:id="12"/>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We will retain broad discretion over the use of the net proceeds from the sale of the securities offered by this prospectus. 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080"/>
          </w:cols>
          <w:pgMar w:left="300" w:top="1272" w:right="51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92"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4"/>
          <w:szCs w:val="14"/>
          <w:color w:val="auto"/>
        </w:rPr>
        <w:t>We have never declared or paid any cash dividends on our ordinary shares. We currently intend to retain all available funds and any future earnings to support our operations and finance the growth and development of our business. We do not intend to pay cash dividends on our ordinary shares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40"/>
          </w:cols>
          <w:pgMar w:left="300" w:top="1108" w:right="35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SHARE CAPITAL</w:t>
      </w:r>
    </w:p>
    <w:p>
      <w:pPr>
        <w:spacing w:after="0" w:line="171" w:lineRule="exact"/>
        <w:rPr>
          <w:sz w:val="20"/>
          <w:szCs w:val="20"/>
          <w:color w:val="auto"/>
        </w:rPr>
      </w:pPr>
    </w:p>
    <w:p>
      <w:pPr>
        <w:ind w:right="180" w:firstLine="335"/>
        <w:spacing w:after="0" w:line="252" w:lineRule="auto"/>
        <w:rPr>
          <w:sz w:val="20"/>
          <w:szCs w:val="20"/>
          <w:color w:val="auto"/>
        </w:rPr>
      </w:pPr>
      <w:r>
        <w:rPr>
          <w:rFonts w:ascii="Times New Roman" w:cs="Times New Roman" w:eastAsia="Times New Roman" w:hAnsi="Times New Roman"/>
          <w:sz w:val="14"/>
          <w:szCs w:val="14"/>
          <w:color w:val="auto"/>
        </w:rPr>
        <w:t>The following is a description of certain terms and provisions of our ordinary shares. The following summary does not purport to be complete, and is subject to, and qualified in its entirety by, the Company’s memorandum and articles of association (the “Articles of Association”), the Company’s Certificate of Designation of Preferences, Rights and Limitations of Series A Non-Voting Convertible Preferred Shares (the “Series A Certificate of Designation”), and the Companies Act (as amended) of the Cayman Islands (the “Companies Act”). Copies of the Articles of Association and the Series A Certificate of Designation have been filed as exhibits to our most recent Annual Report on Form 10-K and are incorporated by reference herein.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1" w:lineRule="exact"/>
        <w:rPr>
          <w:sz w:val="20"/>
          <w:szCs w:val="20"/>
          <w:color w:val="auto"/>
        </w:rPr>
      </w:pPr>
    </w:p>
    <w:p>
      <w:pPr>
        <w:ind w:right="120" w:firstLine="335"/>
        <w:spacing w:after="0" w:line="252" w:lineRule="auto"/>
        <w:rPr>
          <w:sz w:val="20"/>
          <w:szCs w:val="20"/>
          <w:color w:val="auto"/>
        </w:rPr>
      </w:pPr>
      <w:r>
        <w:rPr>
          <w:rFonts w:ascii="Times New Roman" w:cs="Times New Roman" w:eastAsia="Times New Roman" w:hAnsi="Times New Roman"/>
          <w:sz w:val="14"/>
          <w:szCs w:val="14"/>
          <w:color w:val="auto"/>
        </w:rPr>
        <w:t>The authorized share capital of the Company under the Articles of Association is US$180,000 divided into 175,000,000 “ordinary shares,” having a par value of US$0.001 per share; and 5,000,000 “preferred shares,” having a par value of US$0.001 per share. Subject to the rights and restrictions of holders of any series of Series A Preferred Shares (as defined below) specified by the Articles of Association or the Series A Certificate of Designation, the Company may increase its authorized share capital through an ordinary resolution (the affirmative vote of a simple majority of the votes cast at a general meeting). See “Preferred Shares” below for further information.</w:t>
      </w:r>
    </w:p>
    <w:p>
      <w:pPr>
        <w:spacing w:after="0" w:line="145" w:lineRule="exact"/>
        <w:rPr>
          <w:sz w:val="20"/>
          <w:szCs w:val="20"/>
          <w:color w:val="auto"/>
        </w:rPr>
      </w:pPr>
    </w:p>
    <w:p>
      <w:pPr>
        <w:ind w:right="260" w:firstLine="335"/>
        <w:spacing w:after="0" w:line="255" w:lineRule="auto"/>
        <w:rPr>
          <w:sz w:val="20"/>
          <w:szCs w:val="20"/>
          <w:color w:val="auto"/>
        </w:rPr>
      </w:pPr>
      <w:r>
        <w:rPr>
          <w:rFonts w:ascii="Times New Roman" w:cs="Times New Roman" w:eastAsia="Times New Roman" w:hAnsi="Times New Roman"/>
          <w:sz w:val="14"/>
          <w:szCs w:val="14"/>
          <w:color w:val="auto"/>
        </w:rPr>
        <w:t>As of June 30, 2026, there were approximately 53 holders of record of our ordinary shares. The actual number of holders of our ordinary shares is greater than this number of record holders and includes shareholders who are beneficial owners, but whose shares are held in “street name” by brokers or held by other “nominees.” The number of holders of record also does not include shareholders whose shares may be held in trust by other entities.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Ordinary Shares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Each holder of ordinary shares carries the right to receive notice of, to attend and to vote one vote per ordinary share at any Company general meeting.</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Structure of Board of Directors</w:t>
      </w:r>
    </w:p>
    <w:p>
      <w:pPr>
        <w:spacing w:after="0" w:line="171" w:lineRule="exact"/>
        <w:rPr>
          <w:sz w:val="20"/>
          <w:szCs w:val="20"/>
          <w:color w:val="auto"/>
        </w:rPr>
      </w:pPr>
    </w:p>
    <w:p>
      <w:pPr>
        <w:ind w:firstLine="335"/>
        <w:spacing w:after="0" w:line="250" w:lineRule="auto"/>
        <w:rPr>
          <w:sz w:val="20"/>
          <w:szCs w:val="20"/>
          <w:color w:val="auto"/>
        </w:rPr>
      </w:pPr>
      <w:r>
        <w:rPr>
          <w:rFonts w:ascii="Times New Roman" w:cs="Times New Roman" w:eastAsia="Times New Roman" w:hAnsi="Times New Roman"/>
          <w:sz w:val="14"/>
          <w:szCs w:val="14"/>
          <w:color w:val="auto"/>
        </w:rPr>
        <w:t>The board of directors of the Company (the “Board”) is divided into three classes: Class I, Class II and Class III. The Board is authorized to assign members of the directors already in office to such classes in accordance with a resolution or resolutions adopted by the Board. At each annual general meeting of shareholders, directors shall be elected for a full term of three years to succeed the directors of the particular class whose terms expire at such annual general meeting. Notwithstanding the foregoing provisions of this section, each director shall serve until his or her successor is duly elected and qualified or until his or her earlier death, resignation or removal. The Class I directors’ terms expire at the 2028 annual meeting of shareholders, Class II directors’ terms expire at the 2029 annual meeting of shareholders and Class III directors’ terms expire at the 2027 annual meeting of shareholders.</w:t>
      </w:r>
    </w:p>
    <w:p>
      <w:pPr>
        <w:spacing w:after="0" w:line="146" w:lineRule="exact"/>
        <w:rPr>
          <w:sz w:val="20"/>
          <w:szCs w:val="20"/>
          <w:color w:val="auto"/>
        </w:rPr>
      </w:pPr>
    </w:p>
    <w:p>
      <w:pPr>
        <w:ind w:right="60" w:firstLine="335"/>
        <w:spacing w:after="0" w:line="266" w:lineRule="auto"/>
        <w:rPr>
          <w:sz w:val="20"/>
          <w:szCs w:val="20"/>
          <w:color w:val="auto"/>
        </w:rPr>
      </w:pPr>
      <w:r>
        <w:rPr>
          <w:rFonts w:ascii="Times New Roman" w:cs="Times New Roman" w:eastAsia="Times New Roman" w:hAnsi="Times New Roman"/>
          <w:sz w:val="14"/>
          <w:szCs w:val="14"/>
          <w:color w:val="auto"/>
        </w:rPr>
        <w:t>Thereafter, at each succeeding annual general meeting of shareholders, directors will be elected for a full three-year term to succeed the directors of the class whose terms expire at such meeting. Any decrease in the number of directors constituting the Board will not shorten the term of any incumbent director.</w:t>
      </w:r>
    </w:p>
    <w:p>
      <w:pPr>
        <w:spacing w:after="0" w:line="136" w:lineRule="exact"/>
        <w:rPr>
          <w:sz w:val="20"/>
          <w:szCs w:val="20"/>
          <w:color w:val="auto"/>
        </w:rPr>
      </w:pPr>
    </w:p>
    <w:p>
      <w:pPr>
        <w:ind w:firstLine="335"/>
        <w:spacing w:after="0" w:line="252" w:lineRule="auto"/>
        <w:rPr>
          <w:sz w:val="20"/>
          <w:szCs w:val="20"/>
          <w:color w:val="auto"/>
        </w:rPr>
      </w:pPr>
      <w:r>
        <w:rPr>
          <w:rFonts w:ascii="Times New Roman" w:cs="Times New Roman" w:eastAsia="Times New Roman" w:hAnsi="Times New Roman"/>
          <w:sz w:val="14"/>
          <w:szCs w:val="14"/>
          <w:color w:val="auto"/>
        </w:rPr>
        <w:t>At all times when at least 30% of the originally issued Series A Preferred Shares (as defined below) remains issued and outstanding: (i) the holders of record of the Series A Preferred Shares, exclusively and voting together as a separate class on an as-converted to ordinary shares basis, shall be entitled to elect two directors (“Preferred Directors”); and (ii) the holders of the ordinary shares and of any other class or series of voting shares (including the Series A Preferred Shares), exclusively and voting together as a single class on an as-converted to ordinary shares basis, shall be entitled to elect the balance of the total number of directors of the Company. Each Preferred Director shall be entitled to three votes on each matter presented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60"/>
          </w:cols>
          <w:pgMar w:left="300" w:top="1108" w:right="339" w:bottom="1440" w:gutter="0" w:footer="0" w:header="0"/>
        </w:sectPr>
      </w:pPr>
    </w:p>
    <w:bookmarkStart w:id="15" w:name="page16"/>
    <w:bookmarkEnd w:id="15"/>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Preemptive Rights</w:t>
      </w:r>
    </w:p>
    <w:p>
      <w:pPr>
        <w:spacing w:after="0" w:line="171" w:lineRule="exact"/>
        <w:rPr>
          <w:sz w:val="20"/>
          <w:szCs w:val="20"/>
          <w:color w:val="auto"/>
        </w:rPr>
      </w:pPr>
    </w:p>
    <w:p>
      <w:pPr>
        <w:ind w:right="80" w:firstLine="335"/>
        <w:spacing w:after="0" w:line="266" w:lineRule="auto"/>
        <w:rPr>
          <w:sz w:val="20"/>
          <w:szCs w:val="20"/>
          <w:color w:val="auto"/>
        </w:rPr>
      </w:pPr>
      <w:r>
        <w:rPr>
          <w:rFonts w:ascii="Times New Roman" w:cs="Times New Roman" w:eastAsia="Times New Roman" w:hAnsi="Times New Roman"/>
          <w:sz w:val="14"/>
          <w:szCs w:val="14"/>
          <w:color w:val="auto"/>
        </w:rPr>
        <w:t>Company shareholders do not have preemptive rights. Thus, if additional ordinary shares are issued, the current holders of ordinary shares own a proportionately smaller interest in a larger number of outstanding ordinary shares to the extent that they do not participate in the additional issuance.</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Distributions to Shareholders</w:t>
      </w:r>
    </w:p>
    <w:p>
      <w:pPr>
        <w:spacing w:after="0" w:line="171" w:lineRule="exact"/>
        <w:rPr>
          <w:sz w:val="20"/>
          <w:szCs w:val="20"/>
          <w:color w:val="auto"/>
        </w:rPr>
      </w:pPr>
    </w:p>
    <w:p>
      <w:pPr>
        <w:ind w:right="60" w:firstLine="335"/>
        <w:spacing w:after="0" w:line="252" w:lineRule="auto"/>
        <w:rPr>
          <w:sz w:val="20"/>
          <w:szCs w:val="20"/>
          <w:color w:val="auto"/>
        </w:rPr>
      </w:pPr>
      <w:r>
        <w:rPr>
          <w:rFonts w:ascii="Times New Roman" w:cs="Times New Roman" w:eastAsia="Times New Roman" w:hAnsi="Times New Roman"/>
          <w:sz w:val="14"/>
          <w:szCs w:val="14"/>
          <w:color w:val="auto"/>
        </w:rPr>
        <w:t>Subject to the Companies Act, the Articles of Association and any certificate of designation, and except as otherwise provided by the rights attached to any shares, the directors may resolve to declare dividends (including interim dividends) and other distributions on shares in issue and authorize payment of the dividends or other distributions out of the funds of the Company lawfully available therefor. All dividends shall be declared and paid according to the amounts paid up on the ordinary shares, but if and for so long as nothing is paid up on any of the ordinary shares, dividends may be declared and paid according to the par value of the ordinary shares. Dividends may be paid in cash, in property, or in shares.</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Other Matters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All outstanding ordinary shares are fully paid and nonassessable. The ordinary shares are not subject to redemption or sinking fund provisions.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Shares</w:t>
      </w:r>
    </w:p>
    <w:p>
      <w:pPr>
        <w:spacing w:after="0" w:line="171" w:lineRule="exact"/>
        <w:rPr>
          <w:sz w:val="20"/>
          <w:szCs w:val="20"/>
          <w:color w:val="auto"/>
        </w:rPr>
      </w:pPr>
    </w:p>
    <w:p>
      <w:pPr>
        <w:ind w:right="120" w:firstLine="335"/>
        <w:spacing w:after="0" w:line="249" w:lineRule="auto"/>
        <w:rPr>
          <w:sz w:val="20"/>
          <w:szCs w:val="20"/>
          <w:color w:val="auto"/>
        </w:rPr>
      </w:pPr>
      <w:r>
        <w:rPr>
          <w:rFonts w:ascii="Times New Roman" w:cs="Times New Roman" w:eastAsia="Times New Roman" w:hAnsi="Times New Roman"/>
          <w:sz w:val="14"/>
          <w:szCs w:val="14"/>
          <w:color w:val="auto"/>
        </w:rPr>
        <w:t>The Articles of Association provide that, whenever the capital of the Company is divided into different classes (and as otherwise determined by the Board) the rights attached to any such class may, subject to any rights or restrictions for the time being attached to any class, only be materially adversely varied or abrogated with the consent required under the terms of any certificate of designation (if applicable) or, where there is no certificate of designation or the certificate of designation does not provide for a consent threshold, the consent in writing of the holders of simple majority of the issued ordinary or preferred shares of the relevant class, or with the sanction of a resolution passed at a separate meeting of the holders of the ordinary or preferred shares of such class by a simple majority of the votes cast at such a meeting. The Board may vary the rights attaching to any class without the consent or approval of shareholders; provided that the rights may not, in the determination of the directors, be materially adversely varied or abrogated by such action.</w:t>
      </w:r>
    </w:p>
    <w:p>
      <w:pPr>
        <w:spacing w:after="0" w:line="147" w:lineRule="exact"/>
        <w:rPr>
          <w:sz w:val="20"/>
          <w:szCs w:val="20"/>
          <w:color w:val="auto"/>
        </w:rPr>
      </w:pPr>
    </w:p>
    <w:p>
      <w:pPr>
        <w:ind w:right="140" w:firstLine="335"/>
        <w:spacing w:after="0" w:line="255" w:lineRule="auto"/>
        <w:rPr>
          <w:sz w:val="20"/>
          <w:szCs w:val="20"/>
          <w:color w:val="auto"/>
        </w:rPr>
      </w:pPr>
      <w:r>
        <w:rPr>
          <w:rFonts w:ascii="Times New Roman" w:cs="Times New Roman" w:eastAsia="Times New Roman" w:hAnsi="Times New Roman"/>
          <w:sz w:val="14"/>
          <w:szCs w:val="14"/>
          <w:color w:val="auto"/>
        </w:rPr>
        <w:t>The Articles of Association also provide that the rights conferred upon the holders of the ordinary or preferred shares of any class shall not, unless otherwise expressly provided by the terms of issue of the relevant class, be deemed to be materially adversely varied or abrogated by the creation, allotment or issue of ordinary or preferred shares ranking pari passu with them, subsequent to them, with preferred rights (including enhanced voting rights) or the redemption or purchase of any of the relevant class by the Company.</w:t>
      </w:r>
    </w:p>
    <w:p>
      <w:pPr>
        <w:spacing w:after="0" w:line="143" w:lineRule="exact"/>
        <w:rPr>
          <w:sz w:val="20"/>
          <w:szCs w:val="20"/>
          <w:color w:val="auto"/>
        </w:rPr>
      </w:pPr>
    </w:p>
    <w:p>
      <w:pPr>
        <w:ind w:firstLine="335"/>
        <w:spacing w:after="0" w:line="247" w:lineRule="auto"/>
        <w:rPr>
          <w:sz w:val="20"/>
          <w:szCs w:val="20"/>
          <w:color w:val="auto"/>
        </w:rPr>
      </w:pPr>
      <w:r>
        <w:rPr>
          <w:rFonts w:ascii="Times New Roman" w:cs="Times New Roman" w:eastAsia="Times New Roman" w:hAnsi="Times New Roman"/>
          <w:sz w:val="14"/>
          <w:szCs w:val="14"/>
          <w:color w:val="auto"/>
        </w:rPr>
        <w:t>The Board has designated a series of preferred shares through the Series A Certificate of Designation: Series A Non-Voting Convertible Preferred Shares (the “Series A Preferred Shares”). Except as otherwise provided for in the Articles of Association, the Series A Certificate of Designation or at law, a holder of Series A Preferred Shares does not have voting rights. The Series A Certificate of Designation provides for certain voting rights in relation to the election of directors as discussed under “Ordinary Shares- Structure of Board of Directors”. In addition, as long as any Series A Preferred Shares are issued and outstanding, the Company does not, without the affirmative vote of the Preferred Directors, acting together, or the holders of a simple majority of the then issued and outstanding Series A Preferred Shares: (i) alter or change adversely the powers, preferences or rights given to the Series A Preferred Shares or alter or amend the Series A Certificate of Designation, amend the Articles of Association, or file any articles of amendment, certificate of designations, preferences, limitations and relative rights of any series of Company preferred shares, in each case if such action would adversely alter or change the preferences, rights, privileges or powers of, or restrictions provided for the benefit of the Series A Preferred Shares, regardless of whether any of the foregoing actions are by means of amendment to the Articles of Association or by merger, consolidation, recapitalization, reclassification, conversion or otherwise, (ii) issue further Series A Preferred Shares or increase or decrease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0"/>
          </w:cols>
          <w:pgMar w:left="300" w:top="1272"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color w:val="auto"/>
        </w:rPr>
        <w:t>by conversion) the number of authorized Series A Preferred Shares, (iii) at any time while at least 30% of the originally issued Series A Preferred Shares remains issued and outstanding, consummate either:</w:t>
      </w:r>
    </w:p>
    <w:p>
      <w:pPr>
        <w:spacing w:after="0" w:line="26" w:lineRule="exact"/>
        <w:rPr>
          <w:sz w:val="20"/>
          <w:szCs w:val="20"/>
          <w:color w:val="auto"/>
        </w:rPr>
      </w:pPr>
    </w:p>
    <w:p>
      <w:pPr>
        <w:ind w:right="80" w:firstLine="2"/>
        <w:spacing w:after="0" w:line="246" w:lineRule="auto"/>
        <w:tabs>
          <w:tab w:leader="none" w:pos="22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Fundamental Transaction (as defined in the Series A Certificate of Designation) or (B) any merger or consolidation of the Company or other business combination in which the shareholders of the Company immediately before such transaction do not hold at least a simple majority on an as-converted-to-ordinary shares basis of the share capital of the Company immediately after such transaction, (iv) increase the authorized number of directors constituting the Board or change the number of votes entitled to be cast by any director or directors on any matter or (v) enter into any agreement with respect to any of the foregoing that does not explicitly require the approval contemplated to consummate such transaction.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171" w:lineRule="exact"/>
        <w:rPr>
          <w:sz w:val="20"/>
          <w:szCs w:val="20"/>
          <w:color w:val="auto"/>
        </w:rPr>
      </w:pPr>
    </w:p>
    <w:p>
      <w:pPr>
        <w:ind w:right="280" w:firstLine="335"/>
        <w:spacing w:after="0" w:line="266" w:lineRule="auto"/>
        <w:rPr>
          <w:sz w:val="20"/>
          <w:szCs w:val="20"/>
          <w:color w:val="auto"/>
        </w:rPr>
      </w:pPr>
      <w:r>
        <w:rPr>
          <w:rFonts w:ascii="Times New Roman" w:cs="Times New Roman" w:eastAsia="Times New Roman" w:hAnsi="Times New Roman"/>
          <w:sz w:val="14"/>
          <w:szCs w:val="14"/>
          <w:color w:val="auto"/>
        </w:rPr>
        <w:t>Certain provisions of Cayman Islands law and the Articles of Association, which are summarized below, may have the effect of delaying, deferring, or discouraging another person from acquiring control of the Company. They are also designed, in part, to encourage persons seeking to acquire control of the Company to negotiate first with the Board.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Removal of Directors</w:t>
      </w:r>
    </w:p>
    <w:p>
      <w:pPr>
        <w:spacing w:after="0" w:line="171" w:lineRule="exact"/>
        <w:rPr>
          <w:sz w:val="20"/>
          <w:szCs w:val="20"/>
          <w:color w:val="auto"/>
        </w:rPr>
      </w:pPr>
    </w:p>
    <w:p>
      <w:pPr>
        <w:ind w:right="80" w:firstLine="335"/>
        <w:spacing w:after="0" w:line="266" w:lineRule="auto"/>
        <w:rPr>
          <w:sz w:val="20"/>
          <w:szCs w:val="20"/>
          <w:color w:val="auto"/>
        </w:rPr>
      </w:pPr>
      <w:r>
        <w:rPr>
          <w:rFonts w:ascii="Times New Roman" w:cs="Times New Roman" w:eastAsia="Times New Roman" w:hAnsi="Times New Roman"/>
          <w:sz w:val="14"/>
          <w:szCs w:val="14"/>
          <w:color w:val="auto"/>
        </w:rPr>
        <w:t>Subject to the rights and restrictions of holders of any series of preferred shares to remove directors specified by the Articles of Association or any certificate of designation, any individual director or the Board may only be removed with cause by a special resolution passed by the affirmative vote of not less than two-thirds of the votes cast at a general meeting.</w:t>
      </w:r>
    </w:p>
    <w:p>
      <w:pPr>
        <w:spacing w:after="0" w:line="136" w:lineRule="exact"/>
        <w:rPr>
          <w:sz w:val="20"/>
          <w:szCs w:val="20"/>
          <w:color w:val="auto"/>
        </w:rPr>
      </w:pPr>
    </w:p>
    <w:p>
      <w:pPr>
        <w:ind w:right="60" w:firstLine="335"/>
        <w:spacing w:after="0" w:line="266" w:lineRule="auto"/>
        <w:rPr>
          <w:sz w:val="20"/>
          <w:szCs w:val="20"/>
          <w:color w:val="auto"/>
        </w:rPr>
      </w:pPr>
      <w:r>
        <w:rPr>
          <w:rFonts w:ascii="Times New Roman" w:cs="Times New Roman" w:eastAsia="Times New Roman" w:hAnsi="Times New Roman"/>
          <w:sz w:val="14"/>
          <w:szCs w:val="14"/>
          <w:color w:val="auto"/>
        </w:rPr>
        <w:t>At all times when at least 30% of the originally issued Series A Preferred Shares remains issued and outstanding, any Preferred Director may be removed without cause only by the affirmative vote of the holders of a simple majority of the Series A Preferred Shares.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Vacancies on the Board of Directors</w:t>
      </w:r>
    </w:p>
    <w:p>
      <w:pPr>
        <w:spacing w:after="0" w:line="171" w:lineRule="exact"/>
        <w:rPr>
          <w:sz w:val="20"/>
          <w:szCs w:val="20"/>
          <w:color w:val="auto"/>
        </w:rPr>
      </w:pPr>
    </w:p>
    <w:p>
      <w:pPr>
        <w:ind w:firstLine="335"/>
        <w:spacing w:after="0" w:line="274" w:lineRule="auto"/>
        <w:rPr>
          <w:sz w:val="20"/>
          <w:szCs w:val="20"/>
          <w:color w:val="auto"/>
        </w:rPr>
      </w:pPr>
      <w:r>
        <w:rPr>
          <w:rFonts w:ascii="Times New Roman" w:cs="Times New Roman" w:eastAsia="Times New Roman" w:hAnsi="Times New Roman"/>
          <w:sz w:val="13"/>
          <w:szCs w:val="13"/>
          <w:color w:val="auto"/>
        </w:rPr>
        <w:t>Subject to the rights of the holders of any series of preferred shares, including pursuant to any certificate of designation, any vacancies on the Board resulting from death, resignation, disqualification, removal or other causes, and any newly created directorships resulting from any increase in the number of directors, shall, unless the Board determines by resolution that any such vacancies or newly created directorships shall be filled by the shareholders as permitted in accordance with the Articles of Association and any certificate of designation, be filled only by the affirmative vote of a simple majority of the voting power of the directors then in office, or by unanimous written consent of all directors, or by a sole remaining director and not by the shareholders.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31" w:lineRule="exact"/>
        <w:rPr>
          <w:sz w:val="20"/>
          <w:szCs w:val="20"/>
          <w:color w:val="auto"/>
        </w:rPr>
      </w:pPr>
    </w:p>
    <w:p>
      <w:pPr>
        <w:ind w:right="140" w:firstLine="335"/>
        <w:spacing w:after="0" w:line="266" w:lineRule="auto"/>
        <w:rPr>
          <w:sz w:val="20"/>
          <w:szCs w:val="20"/>
          <w:color w:val="auto"/>
        </w:rPr>
      </w:pPr>
      <w:r>
        <w:rPr>
          <w:rFonts w:ascii="Times New Roman" w:cs="Times New Roman" w:eastAsia="Times New Roman" w:hAnsi="Times New Roman"/>
          <w:sz w:val="14"/>
          <w:szCs w:val="14"/>
          <w:color w:val="auto"/>
        </w:rPr>
        <w:t>At all times when at least 30% of the originally issued Series A Preferred Shares remains issued and outstanding, any vacancies of a Preferred Director directorship resulting from death, resignation, disqualification, removal or other causes shall be filled by the affirmative vote of the holders of a simple majority of the Series A Preferred Shares.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Shareholder Action by Written Consent</w:t>
      </w:r>
    </w:p>
    <w:p>
      <w:pPr>
        <w:spacing w:after="0" w:line="171" w:lineRule="exact"/>
        <w:rPr>
          <w:sz w:val="20"/>
          <w:szCs w:val="20"/>
          <w:color w:val="auto"/>
        </w:rPr>
      </w:pPr>
    </w:p>
    <w:p>
      <w:pPr>
        <w:ind w:right="660" w:firstLine="335"/>
        <w:spacing w:after="0" w:line="266" w:lineRule="auto"/>
        <w:rPr>
          <w:sz w:val="20"/>
          <w:szCs w:val="20"/>
          <w:color w:val="auto"/>
        </w:rPr>
      </w:pPr>
      <w:r>
        <w:rPr>
          <w:rFonts w:ascii="Times New Roman" w:cs="Times New Roman" w:eastAsia="Times New Roman" w:hAnsi="Times New Roman"/>
          <w:sz w:val="14"/>
          <w:szCs w:val="14"/>
          <w:color w:val="auto"/>
        </w:rPr>
        <w:t>A resolution in writing signed by all the shareholders entitled to receive notice of and to attend and vote at general meetings of the Company (or being corporations by their duly authorized representatives) shall be as valid and effective as if the same had been passed at a general meeting of the Company duly convened and held.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Meetings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1276" w:right="319" w:bottom="1440" w:gutter="0" w:footer="0" w:header="0"/>
        </w:sectPr>
      </w:pPr>
    </w:p>
    <w:bookmarkStart w:id="17" w:name="page18"/>
    <w:bookmarkEnd w:id="17"/>
    <w:p>
      <w:pPr>
        <w:ind w:right="160" w:firstLine="335"/>
        <w:spacing w:after="0" w:line="266" w:lineRule="auto"/>
        <w:rPr>
          <w:sz w:val="20"/>
          <w:szCs w:val="20"/>
          <w:color w:val="auto"/>
        </w:rPr>
      </w:pPr>
      <w:r>
        <w:rPr>
          <w:rFonts w:ascii="Times New Roman" w:cs="Times New Roman" w:eastAsia="Times New Roman" w:hAnsi="Times New Roman"/>
          <w:sz w:val="14"/>
          <w:szCs w:val="14"/>
          <w:color w:val="auto"/>
        </w:rPr>
        <w:t>Under Cayman Islands law, there is no statutory right for shareholders to call a general meeting where the articles of association provide for the calling of meetings. Where the articles of association provide for calling of meetings, the ability to convene such a meeting is governed by the company’s articles of association.</w:t>
      </w:r>
    </w:p>
    <w:p>
      <w:pPr>
        <w:spacing w:after="0" w:line="136" w:lineRule="exact"/>
        <w:rPr>
          <w:sz w:val="20"/>
          <w:szCs w:val="20"/>
          <w:color w:val="auto"/>
        </w:rPr>
      </w:pPr>
    </w:p>
    <w:p>
      <w:pPr>
        <w:ind w:right="200" w:firstLine="335"/>
        <w:spacing w:after="0" w:line="255" w:lineRule="auto"/>
        <w:rPr>
          <w:sz w:val="20"/>
          <w:szCs w:val="20"/>
          <w:color w:val="auto"/>
        </w:rPr>
      </w:pPr>
      <w:r>
        <w:rPr>
          <w:rFonts w:ascii="Times New Roman" w:cs="Times New Roman" w:eastAsia="Times New Roman" w:hAnsi="Times New Roman"/>
          <w:sz w:val="14"/>
          <w:szCs w:val="14"/>
          <w:color w:val="auto"/>
        </w:rPr>
        <w:t>General meetings of the Company shareholders may be called, for any purpose as is a proper matter for shareholder action under Cayman Islands law, by (i) the chairman of the Board, (ii) the chief executive officer, or (iii) the Board pursuant to a resolution adopted by a simple majority of the voting power of the directors present at a meeting of directors or by unanimous written consent of all directors.</w:t>
      </w:r>
    </w:p>
    <w:p>
      <w:pPr>
        <w:spacing w:after="0" w:line="143" w:lineRule="exact"/>
        <w:rPr>
          <w:sz w:val="20"/>
          <w:szCs w:val="20"/>
          <w:color w:val="auto"/>
        </w:rPr>
      </w:pPr>
    </w:p>
    <w:p>
      <w:pPr>
        <w:ind w:firstLine="335"/>
        <w:spacing w:after="0" w:line="255" w:lineRule="auto"/>
        <w:rPr>
          <w:sz w:val="20"/>
          <w:szCs w:val="20"/>
          <w:color w:val="auto"/>
        </w:rPr>
      </w:pPr>
      <w:r>
        <w:rPr>
          <w:rFonts w:ascii="Times New Roman" w:cs="Times New Roman" w:eastAsia="Times New Roman" w:hAnsi="Times New Roman"/>
          <w:sz w:val="14"/>
          <w:szCs w:val="14"/>
          <w:color w:val="auto"/>
        </w:rPr>
        <w:t>The Board shall determine the date, time and place (including any electronic facility), if any, of such general meeting. Upon determination of the date, time and place (including any electronic facility), if any, of the meeting, the Board or secretary shall cause a notice of general meeting to be given to the Company shareholders entitled to vote, in accordance with the Articles of Association. No business may be transacted at such special meeting otherwise than specified in the notice of general meeting.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Shareholder Vote for Mergers and Other Corporate Reorganizations</w:t>
      </w:r>
    </w:p>
    <w:p>
      <w:pPr>
        <w:spacing w:after="0" w:line="171" w:lineRule="exact"/>
        <w:rPr>
          <w:sz w:val="20"/>
          <w:szCs w:val="20"/>
          <w:color w:val="auto"/>
        </w:rPr>
      </w:pPr>
    </w:p>
    <w:p>
      <w:pPr>
        <w:ind w:right="140" w:firstLine="335"/>
        <w:spacing w:after="0" w:line="252" w:lineRule="auto"/>
        <w:rPr>
          <w:sz w:val="20"/>
          <w:szCs w:val="20"/>
          <w:color w:val="auto"/>
        </w:rPr>
      </w:pPr>
      <w:r>
        <w:rPr>
          <w:rFonts w:ascii="Times New Roman" w:cs="Times New Roman" w:eastAsia="Times New Roman" w:hAnsi="Times New Roman"/>
          <w:sz w:val="14"/>
          <w:szCs w:val="14"/>
          <w:color w:val="auto"/>
        </w:rPr>
        <w:t>Under Cayman Islands law, a company may merge with another company (wherever incorporated, provided that such merger is not prohibited by the laws of the jurisdiction of incorporation of that company) pursuant to the Companies Act. A merger under Cayman Islands law requires the approval by a special resolution, which in the context of a general meeting of the Company requires (i) not less than a two-thirds majority of the votes cast by such shareholders attending and voting in person or, where proxies are allowed, by proxy at a quorate general meeting of the Company or (ii) the written resolution of all shareholders entitled to vote at such general meeting.</w:t>
      </w:r>
    </w:p>
    <w:p>
      <w:pPr>
        <w:spacing w:after="0" w:line="145" w:lineRule="exact"/>
        <w:rPr>
          <w:sz w:val="20"/>
          <w:szCs w:val="20"/>
          <w:color w:val="auto"/>
        </w:rPr>
      </w:pPr>
    </w:p>
    <w:p>
      <w:pPr>
        <w:ind w:right="80" w:firstLine="335"/>
        <w:spacing w:after="0" w:line="255" w:lineRule="auto"/>
        <w:rPr>
          <w:sz w:val="20"/>
          <w:szCs w:val="20"/>
          <w:color w:val="auto"/>
        </w:rPr>
      </w:pPr>
      <w:r>
        <w:rPr>
          <w:rFonts w:ascii="Times New Roman" w:cs="Times New Roman" w:eastAsia="Times New Roman" w:hAnsi="Times New Roman"/>
          <w:sz w:val="14"/>
          <w:szCs w:val="14"/>
          <w:color w:val="auto"/>
        </w:rPr>
        <w:t>No shareholder resolution is required for a merger between a parent company (i.e., a company that holds issued shares that together represent 90% of the votes at a general meeting of the subsidiary company) and its subsidiary company, provided the parent company is the surviving entity and a copy of the plan of merger (including the memorandum and articles of association of the company) is given to every member of each subsidiary company to be merged unless that member agrees otherwise.</w:t>
      </w:r>
    </w:p>
    <w:p>
      <w:pPr>
        <w:spacing w:after="0" w:line="143" w:lineRule="exact"/>
        <w:rPr>
          <w:sz w:val="20"/>
          <w:szCs w:val="20"/>
          <w:color w:val="auto"/>
        </w:rPr>
      </w:pPr>
    </w:p>
    <w:p>
      <w:pPr>
        <w:ind w:right="180" w:firstLine="335"/>
        <w:spacing w:after="0" w:line="250" w:lineRule="auto"/>
        <w:rPr>
          <w:sz w:val="20"/>
          <w:szCs w:val="20"/>
          <w:color w:val="auto"/>
        </w:rPr>
      </w:pPr>
      <w:r>
        <w:rPr>
          <w:rFonts w:ascii="Times New Roman" w:cs="Times New Roman" w:eastAsia="Times New Roman" w:hAnsi="Times New Roman"/>
          <w:sz w:val="14"/>
          <w:szCs w:val="14"/>
          <w:color w:val="auto"/>
        </w:rPr>
        <w:t>Under Cayman Islands law, a Cayman Islands exempted company may be acquired through a tender offer by a third party. Where the holders of 90% or more in value of a class of the Company’s shares (excluding any shares already beneficially owned by the offeror) have within four months of the making of an offer accepted an offer for their shares in the Company, the remaining shareholders in that class may be statutorily required to also transfer their shares by notice given at any time within two months of the expiry of the four month period, unless, within one month, the non-tendering shareholders can obtain a Cayman court order otherwise providing. If the offeror has acquired acceptances of 90% of all the Company’s shares but does not exercise its “squeeze out” right, then the non-accepting shareholders have no statutory right to require the offeror to acquire their shares on the same terms as the original offer.</w:t>
      </w:r>
    </w:p>
    <w:p>
      <w:pPr>
        <w:spacing w:after="0" w:line="146" w:lineRule="exact"/>
        <w:rPr>
          <w:sz w:val="20"/>
          <w:szCs w:val="20"/>
          <w:color w:val="auto"/>
        </w:rPr>
      </w:pPr>
    </w:p>
    <w:p>
      <w:pPr>
        <w:ind w:firstLine="335"/>
        <w:spacing w:after="0" w:line="249" w:lineRule="auto"/>
        <w:rPr>
          <w:sz w:val="20"/>
          <w:szCs w:val="20"/>
          <w:color w:val="auto"/>
        </w:rPr>
      </w:pPr>
      <w:r>
        <w:rPr>
          <w:rFonts w:ascii="Times New Roman" w:cs="Times New Roman" w:eastAsia="Times New Roman" w:hAnsi="Times New Roman"/>
          <w:sz w:val="14"/>
          <w:szCs w:val="14"/>
          <w:color w:val="auto"/>
        </w:rPr>
        <w:t>A Cayman Islands exempted company may also be acquired by way of a Cayman Islands court-approved scheme of arrangement under the Companies Act. A scheme of arrangement is a compromise or arrangement which may be entered into between a company and one or more classes of shareholders. In order to become binding and effective in accordance with its terms, the scheme of arrangement requires the approval of shareholders representing 75% or more by value of the shares of each class comprised in the scheme, in each case at the relevant meeting or meetings, and an order of the Grand Court of the Cayman Islands sanctioning the scheme of arrangement. A scheme of arrangement, if approved by the requisite statutory majorities and sanctioned by the Grand Court of the Cayman Islands, is binding on all of the shareholders of each class, including any dissenting shareholders. There is currently no cross class cramdown available under Cayman Islands law. Shares held by the acquiring party are likely to be considered to belong to a separate class for the purposes of approving the scheme.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Advance Notice Requirements for Shareholder Proposals and Director Nominations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80"/>
          </w:cols>
          <w:pgMar w:left="300" w:top="1276" w:right="319" w:bottom="1440" w:gutter="0" w:footer="0" w:header="0"/>
        </w:sectPr>
      </w:pPr>
    </w:p>
    <w:bookmarkStart w:id="18" w:name="page19"/>
    <w:bookmarkEnd w:id="18"/>
    <w:p>
      <w:pPr>
        <w:ind w:right="60" w:firstLine="335"/>
        <w:spacing w:after="0" w:line="248" w:lineRule="auto"/>
        <w:rPr>
          <w:sz w:val="20"/>
          <w:szCs w:val="20"/>
          <w:color w:val="auto"/>
        </w:rPr>
      </w:pPr>
      <w:r>
        <w:rPr>
          <w:rFonts w:ascii="Times New Roman" w:cs="Times New Roman" w:eastAsia="Times New Roman" w:hAnsi="Times New Roman"/>
          <w:sz w:val="14"/>
          <w:szCs w:val="14"/>
          <w:color w:val="auto"/>
        </w:rPr>
        <w:t>Nominations of persons for election to the Board and the proposal of business to be considered by the shareholders may be made at an annual general meeting of shareholders: (i) pursuant to the Company’s notice of meeting of shareholders (with respect to business other than nominations); (ii) brought specifically by or at the direction of the Board; or (iii) by any shareholder of the Company who was a shareholder of record at the time of giving the shareholders’ notice provided for in the Articles of Association below, who is entitled to vote at the meeting and who complied with the notice procedures set forth in Articles of Association. Such notice must be received by the Company not later than the close of business on the ninetieth day and no earlier than the close of business on the one hundred twentieth day prior to the first anniversary of the preceding year’s annual meeting, in the case of an annual meeting nomination, and not later than the close of business on the later of the ninetieth day prior to such meeting or the tenth day following the day on which public announcement is first made of the date of the general meeting and of the nominees proposed by the Board to be elected at such meeting, in the case of a general meeting nomination.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Cumulative Voting</w:t>
      </w:r>
    </w:p>
    <w:p>
      <w:pPr>
        <w:spacing w:after="0" w:line="171" w:lineRule="exact"/>
        <w:rPr>
          <w:sz w:val="20"/>
          <w:szCs w:val="20"/>
          <w:color w:val="auto"/>
        </w:rPr>
      </w:pPr>
    </w:p>
    <w:p>
      <w:pPr>
        <w:ind w:right="80" w:firstLine="335"/>
        <w:spacing w:after="0" w:line="266" w:lineRule="auto"/>
        <w:rPr>
          <w:sz w:val="20"/>
          <w:szCs w:val="20"/>
          <w:color w:val="auto"/>
        </w:rPr>
      </w:pPr>
      <w:r>
        <w:rPr>
          <w:rFonts w:ascii="Times New Roman" w:cs="Times New Roman" w:eastAsia="Times New Roman" w:hAnsi="Times New Roman"/>
          <w:sz w:val="14"/>
          <w:szCs w:val="14"/>
          <w:color w:val="auto"/>
        </w:rPr>
        <w:t>The Companies Act does not provide for cumulative voting as a mechanism for electing directors and if a Cayman Islands exempted company wants to allow cumulative voting, it must explicitly set out in its articles of association. The Articles of Association do not provide for cumulative voting.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Amendment of Articles of Association</w:t>
      </w:r>
    </w:p>
    <w:p>
      <w:pPr>
        <w:spacing w:after="0" w:line="171" w:lineRule="exact"/>
        <w:rPr>
          <w:sz w:val="20"/>
          <w:szCs w:val="20"/>
          <w:color w:val="auto"/>
        </w:rPr>
      </w:pPr>
    </w:p>
    <w:p>
      <w:pPr>
        <w:ind w:right="280" w:firstLine="335"/>
        <w:spacing w:after="0" w:line="255" w:lineRule="auto"/>
        <w:rPr>
          <w:sz w:val="20"/>
          <w:szCs w:val="20"/>
          <w:color w:val="auto"/>
        </w:rPr>
      </w:pPr>
      <w:r>
        <w:rPr>
          <w:rFonts w:ascii="Times New Roman" w:cs="Times New Roman" w:eastAsia="Times New Roman" w:hAnsi="Times New Roman"/>
          <w:sz w:val="14"/>
          <w:szCs w:val="14"/>
          <w:color w:val="auto"/>
        </w:rPr>
        <w:t>Subject to the Companies Act and the rights attaching to the various classes, including pursuant to any certificate of designation, the Company may at any time and from time to time by special resolution passed by the affirmative vote of not less than two-thirds of the votes cast at a general meeting alter or amend the memorandum of association forming a part of the Articles of Association in whole or in part.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Shareholder Rights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Certain other provisions of Cayman Islands law and the Articles of Association summarized below also have important effects on the rights of shareholders of the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Shareholder Inspection Rights</w:t>
      </w:r>
    </w:p>
    <w:p>
      <w:pPr>
        <w:spacing w:after="0" w:line="171" w:lineRule="exact"/>
        <w:rPr>
          <w:sz w:val="20"/>
          <w:szCs w:val="20"/>
          <w:color w:val="auto"/>
        </w:rPr>
      </w:pPr>
    </w:p>
    <w:p>
      <w:pPr>
        <w:ind w:firstLine="335"/>
        <w:spacing w:after="0" w:line="255" w:lineRule="auto"/>
        <w:rPr>
          <w:sz w:val="20"/>
          <w:szCs w:val="20"/>
          <w:color w:val="auto"/>
        </w:rPr>
      </w:pPr>
      <w:r>
        <w:rPr>
          <w:rFonts w:ascii="Times New Roman" w:cs="Times New Roman" w:eastAsia="Times New Roman" w:hAnsi="Times New Roman"/>
          <w:sz w:val="14"/>
          <w:szCs w:val="14"/>
          <w:color w:val="auto"/>
        </w:rPr>
        <w:t>Under Cayman Islands law, shareholders generally do not have any rights to inspect or obtain copies of the register of shareholders or other corporate records of a company, though directors may from time to time determine whether and to what extent and at what times and places and under what conditions or regulations the accounts and books of a Cayman Islands exempted company or any of them may be open to the inspection of shareholders not being directors.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Appraisal or Dissenter’s Rights</w:t>
      </w:r>
    </w:p>
    <w:p>
      <w:pPr>
        <w:spacing w:after="0" w:line="171" w:lineRule="exact"/>
        <w:rPr>
          <w:sz w:val="20"/>
          <w:szCs w:val="20"/>
          <w:color w:val="auto"/>
        </w:rPr>
      </w:pPr>
    </w:p>
    <w:p>
      <w:pPr>
        <w:ind w:right="200" w:firstLine="335"/>
        <w:spacing w:after="0" w:line="252" w:lineRule="auto"/>
        <w:rPr>
          <w:sz w:val="20"/>
          <w:szCs w:val="20"/>
          <w:color w:val="auto"/>
        </w:rPr>
      </w:pPr>
      <w:r>
        <w:rPr>
          <w:rFonts w:ascii="Times New Roman" w:cs="Times New Roman" w:eastAsia="Times New Roman" w:hAnsi="Times New Roman"/>
          <w:sz w:val="14"/>
          <w:szCs w:val="14"/>
          <w:color w:val="auto"/>
        </w:rPr>
        <w:t>Generally, under Cayman Islands law, shareholders of a Cayman Islands exempted company do not have statutory appraisal rights; provided that in the event of a statutory merger under the Companies Act a shareholder shall be entitled to receive the fair value of their shares upon dissenting from such merger. Rights of a dissenting shareholder are not available in certain circumstances, for example, to dissenters holding shares of any class in respect of which an open market exists on a recognized stock exchange or recognized interdealer quotation system at the relevant date and where the consideration for such shares to be contributed are shares of any company listed on a national securities exchange or shares of the surviving or consolidated company.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Exclusive Forum</w:t>
      </w:r>
    </w:p>
    <w:p>
      <w:pPr>
        <w:spacing w:after="0" w:line="171" w:lineRule="exact"/>
        <w:rPr>
          <w:sz w:val="20"/>
          <w:szCs w:val="20"/>
          <w:color w:val="auto"/>
        </w:rPr>
      </w:pPr>
    </w:p>
    <w:p>
      <w:pPr>
        <w:ind w:right="140" w:firstLine="335"/>
        <w:spacing w:after="0" w:line="255" w:lineRule="auto"/>
        <w:rPr>
          <w:sz w:val="20"/>
          <w:szCs w:val="20"/>
          <w:color w:val="auto"/>
        </w:rPr>
      </w:pPr>
      <w:r>
        <w:rPr>
          <w:rFonts w:ascii="Times New Roman" w:cs="Times New Roman" w:eastAsia="Times New Roman" w:hAnsi="Times New Roman"/>
          <w:sz w:val="14"/>
          <w:szCs w:val="14"/>
          <w:color w:val="auto"/>
        </w:rPr>
        <w:t>The Articles of Association provide that, unless the Company consents in writing to the selection of an alternative forum, the courts of the Cayman Islands shall have exclusive jurisdiction over any claim or dispute arising out of or in connection with the Articles of Association or otherwise related in any way to each member’s shareholding in the Company, including but not limited to: (a) any derivative action or proceeding brought on behalf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40"/>
          </w:cols>
          <w:pgMar w:left="300" w:top="1276" w:right="359" w:bottom="1440" w:gutter="0" w:footer="0" w:header="0"/>
        </w:sectPr>
      </w:pPr>
    </w:p>
    <w:bookmarkStart w:id="19" w:name="page20"/>
    <w:bookmarkEnd w:id="19"/>
    <w:p>
      <w:pPr>
        <w:jc w:val="both"/>
        <w:ind w:right="40"/>
        <w:spacing w:after="0" w:line="247" w:lineRule="auto"/>
        <w:rPr>
          <w:sz w:val="20"/>
          <w:szCs w:val="20"/>
          <w:color w:val="auto"/>
        </w:rPr>
      </w:pPr>
      <w:r>
        <w:rPr>
          <w:rFonts w:ascii="Times New Roman" w:cs="Times New Roman" w:eastAsia="Times New Roman" w:hAnsi="Times New Roman"/>
          <w:sz w:val="14"/>
          <w:szCs w:val="14"/>
          <w:color w:val="auto"/>
        </w:rPr>
        <w:t>Company; (b) any action asserting a claim of breach of any fiduciary or other duty owed by any current or former director, officer or other employee of the Company to the Company or the members; (c) any action asserting a claim arising pursuant to any provision of the Companies Act, the Articles of Association; or (d) any action asserting a claim against the Company concerning its internal affairs and that each shareholder irrevocably submits to the exclusive jurisdiction of the courts of the Cayman Islands over all such claims or disputes.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Although our Articles of Association contains the choice of forum provision described above, it is possible that a court could rule that such a provision is inapplicable for a particular claim or action or that such provision is unenforceable.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Opportunities</w:t>
      </w:r>
    </w:p>
    <w:p>
      <w:pPr>
        <w:spacing w:after="0" w:line="171" w:lineRule="exact"/>
        <w:rPr>
          <w:sz w:val="20"/>
          <w:szCs w:val="20"/>
          <w:color w:val="auto"/>
        </w:rPr>
      </w:pPr>
    </w:p>
    <w:p>
      <w:pPr>
        <w:jc w:val="both"/>
        <w:ind w:firstLine="335"/>
        <w:spacing w:after="0" w:line="277" w:lineRule="auto"/>
        <w:rPr>
          <w:sz w:val="20"/>
          <w:szCs w:val="20"/>
          <w:color w:val="auto"/>
        </w:rPr>
      </w:pPr>
      <w:r>
        <w:rPr>
          <w:rFonts w:ascii="Times New Roman" w:cs="Times New Roman" w:eastAsia="Times New Roman" w:hAnsi="Times New Roman"/>
          <w:sz w:val="13"/>
          <w:szCs w:val="13"/>
          <w:color w:val="auto"/>
        </w:rPr>
        <w:t>Cayman Islands law does not have a codified corporate opportunity doctrine and a director’s obligations in relation to business opportunities are governed by general fiduciary duties which include the duty to act in good faith and in the best interests of the company, the duty to avoid conflicts of interests and a duty to exercise independent judgement and avoid self-dealing. A Cayman Islands director may engage in business activities outside a Cayman Islands exempted company, provided that they have disclosed any personal interest in the opportunity. If the director properly declares their interest at a board meeting, Cayman Islands law generally permits the company to approve the transaction. A director may also vote on resolutions related to such a contract provided the interest has been disclosed.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Shareholders’ Derivative Actions</w:t>
      </w:r>
    </w:p>
    <w:p>
      <w:pPr>
        <w:spacing w:after="0" w:line="171" w:lineRule="exact"/>
        <w:rPr>
          <w:sz w:val="20"/>
          <w:szCs w:val="20"/>
          <w:color w:val="auto"/>
        </w:rPr>
      </w:pPr>
    </w:p>
    <w:p>
      <w:pPr>
        <w:ind w:firstLine="335"/>
        <w:spacing w:after="0" w:line="247" w:lineRule="auto"/>
        <w:rPr>
          <w:sz w:val="20"/>
          <w:szCs w:val="20"/>
          <w:color w:val="auto"/>
        </w:rPr>
      </w:pPr>
      <w:r>
        <w:rPr>
          <w:rFonts w:ascii="Times New Roman" w:cs="Times New Roman" w:eastAsia="Times New Roman" w:hAnsi="Times New Roman"/>
          <w:sz w:val="14"/>
          <w:szCs w:val="14"/>
          <w:color w:val="auto"/>
        </w:rPr>
        <w:t>In most cases, under Cayman Islands law, the Company is the proper plaintiff in any claim based on a breach of duty owed to it, and a claim against (for example) the Company’s directors or officers usually may not be brought by a shareholder: in principle, a shareholder does not have a direct right of action against directors of the Company. However, based on Cayman Islands authorities and English authorities (which will be of persuasive authority in the Cayman Islands), there are exceptions to the foregoing principle such that a shareholder may be entitled to bring a derivative action on behalf of the Company, but only in limited circumstances, including but not limited to: the Company acts or proposes to act illegally or ultra vires; the act complained of (although not ultra vires) could be affected if duly authorized by a special resolution that has not been obtained; and those who control the Company are perpetuating a "fraud on the minority". A shareholder may have a direct right of action against the Company where the individual rights of that shareholder have been or will be infringed. Derivative actions have been brought in the Cayman Islands courts, and whilst the Cayman Islands courts have confirmed the availability for such actions, they are less common relative to similar claims brought in Delaware pursuant to the Delaware law. In addition, Cayman Islands law does not specifically restrict a Cayman Islands exempted company from exculpating its directors or officers from liability for negligence or a breach of duty, except to the extent any such provision may be held by the Cayman Islands courts to be contrary to public policy, such as to limit liability against willful default, willful neglect, actual fraud or the consequences of committing a crime.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 on Director and Officer Liability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Companies Act does not restrict the authority of a Cayman exempted company to indemnify its directors, officers, employees or agents.</w:t>
      </w:r>
    </w:p>
    <w:p>
      <w:pPr>
        <w:spacing w:after="0" w:line="167" w:lineRule="exact"/>
        <w:rPr>
          <w:sz w:val="20"/>
          <w:szCs w:val="20"/>
          <w:color w:val="auto"/>
        </w:rPr>
      </w:pPr>
    </w:p>
    <w:p>
      <w:pPr>
        <w:ind w:right="160" w:firstLine="335"/>
        <w:spacing w:after="0" w:line="252" w:lineRule="auto"/>
        <w:rPr>
          <w:sz w:val="20"/>
          <w:szCs w:val="20"/>
          <w:color w:val="auto"/>
        </w:rPr>
      </w:pPr>
      <w:r>
        <w:rPr>
          <w:rFonts w:ascii="Times New Roman" w:cs="Times New Roman" w:eastAsia="Times New Roman" w:hAnsi="Times New Roman"/>
          <w:sz w:val="14"/>
          <w:szCs w:val="14"/>
          <w:color w:val="auto"/>
        </w:rPr>
        <w:t>The Articles of Association provide that no Indemnified Person (as defined below) shall be liable: (a) for the acts, receipts, neglects, defaults or omissions of any other director or officer or agent of the Company; or (b) for any loss on account of defect of title to any property of the Company; or (c) on account of the insufficiency of any security in or upon which any money of the Company shall be invested; or (d) for any loss incurred through any bank, broker or other similar person; or (e) for any loss occasioned by any negligence, default, breach of duty, breach of trust, error of judgement or oversight on such Indemnified Person’s part; or (f) for any loss, damage or misfortune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60"/>
          </w:cols>
          <w:pgMar w:left="300" w:top="1276" w:right="339" w:bottom="1440" w:gutter="0" w:footer="0" w:header="0"/>
        </w:sectPr>
      </w:pPr>
    </w:p>
    <w:bookmarkStart w:id="20" w:name="page21"/>
    <w:bookmarkEnd w:id="20"/>
    <w:p>
      <w:pPr>
        <w:ind w:right="20"/>
        <w:spacing w:after="0" w:line="266" w:lineRule="auto"/>
        <w:rPr>
          <w:sz w:val="20"/>
          <w:szCs w:val="20"/>
          <w:color w:val="auto"/>
        </w:rPr>
      </w:pPr>
      <w:r>
        <w:rPr>
          <w:rFonts w:ascii="Times New Roman" w:cs="Times New Roman" w:eastAsia="Times New Roman" w:hAnsi="Times New Roman"/>
          <w:sz w:val="14"/>
          <w:szCs w:val="14"/>
          <w:color w:val="auto"/>
        </w:rPr>
        <w:t>which may happen in or arise from the execution of discharge of the duties, powers, authorities, or discretions of such Indemnified Person’s office or in relation thereto; unless the same shall happen through such Indemnified Person’s own actual fraud, willful default or willful neglect as determined by a court of competent jurisdiction.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w:t>
      </w:r>
    </w:p>
    <w:p>
      <w:pPr>
        <w:spacing w:after="0" w:line="171" w:lineRule="exact"/>
        <w:rPr>
          <w:sz w:val="20"/>
          <w:szCs w:val="20"/>
          <w:color w:val="auto"/>
        </w:rPr>
      </w:pPr>
    </w:p>
    <w:p>
      <w:pPr>
        <w:ind w:firstLine="335"/>
        <w:spacing w:after="0" w:line="247" w:lineRule="auto"/>
        <w:rPr>
          <w:sz w:val="20"/>
          <w:szCs w:val="20"/>
          <w:color w:val="auto"/>
        </w:rPr>
      </w:pPr>
      <w:r>
        <w:rPr>
          <w:rFonts w:ascii="Times New Roman" w:cs="Times New Roman" w:eastAsia="Times New Roman" w:hAnsi="Times New Roman"/>
          <w:sz w:val="14"/>
          <w:szCs w:val="14"/>
          <w:color w:val="auto"/>
        </w:rPr>
        <w:t>The Articles of Association provide that, to the fullest extent permitted by law, every director (including any alternate director appointed pursuant to the provisions of the Articles of Association), secretary, assistant secretary, or other officer (but not including the Company’s auditors) and the personal representatives of the same (each an “Indemnified Person”) shall be indemnified and secured harmless out of the assets and funds of the Company against all actions or proceedings whether threatened, pending or completed, costs, charges, expenses, losses, damages or liabilities incurred or sustained by such Indemnified Person, other than by reason of such Indemnified Person’s own actual fraud, willful default or willful neglect as determined by a court of competent jurisdiction, (i) in or about the conduct of the Company’s business or affairs (including as a result of any mistake of judgment), (ii) in the execution or discharge of his or her duties, powers, authorities or discretions, or (iii) in respect of any actions or activities undertaken by an Indemnified Person provided for and in accordance with the provisions set out above (inclusive) including without prejudice to the generality of the foregoing, any costs, expenses, losses or liabilities incurred by such Indemnified Person in defending or otherwise being involved in, (whether successfully or otherwise) any civil proceedings concerning the Company or its affairs in any court whether in the Cayman Islands or elsewhere.</w:t>
      </w:r>
    </w:p>
    <w:p>
      <w:pPr>
        <w:spacing w:after="0" w:line="152" w:lineRule="exact"/>
        <w:rPr>
          <w:sz w:val="20"/>
          <w:szCs w:val="20"/>
          <w:color w:val="auto"/>
        </w:rPr>
      </w:pPr>
    </w:p>
    <w:p>
      <w:pPr>
        <w:ind w:right="80" w:firstLine="335"/>
        <w:spacing w:after="0" w:line="255" w:lineRule="auto"/>
        <w:rPr>
          <w:sz w:val="20"/>
          <w:szCs w:val="20"/>
          <w:color w:val="auto"/>
        </w:rPr>
      </w:pPr>
      <w:r>
        <w:rPr>
          <w:rFonts w:ascii="Times New Roman" w:cs="Times New Roman" w:eastAsia="Times New Roman" w:hAnsi="Times New Roman"/>
          <w:sz w:val="14"/>
          <w:szCs w:val="14"/>
          <w:color w:val="auto"/>
        </w:rPr>
        <w:t>Each shareholder waives any claim or right of action they might have, whether individually or by or in the right of the Company, against any director or officer on account of any action taken by such director or officer, or the failure of such director or officer to take any action in the performance of his or her duties with or for the Company; provided that such waiver shall not extend to any matter in respect of any actual fraud, willful default or willful neglect which may attach to such director or officer.</w:t>
      </w:r>
    </w:p>
    <w:p>
      <w:pPr>
        <w:spacing w:after="0" w:line="143" w:lineRule="exact"/>
        <w:rPr>
          <w:sz w:val="20"/>
          <w:szCs w:val="20"/>
          <w:color w:val="auto"/>
        </w:rPr>
      </w:pPr>
    </w:p>
    <w:p>
      <w:pPr>
        <w:ind w:right="180" w:firstLine="335"/>
        <w:spacing w:after="0" w:line="255" w:lineRule="auto"/>
        <w:rPr>
          <w:sz w:val="20"/>
          <w:szCs w:val="20"/>
          <w:color w:val="auto"/>
        </w:rPr>
      </w:pPr>
      <w:r>
        <w:rPr>
          <w:rFonts w:ascii="Times New Roman" w:cs="Times New Roman" w:eastAsia="Times New Roman" w:hAnsi="Times New Roman"/>
          <w:sz w:val="14"/>
          <w:szCs w:val="14"/>
          <w:color w:val="auto"/>
        </w:rPr>
        <w:t>The Company will pay the expenses (including attorneys’ fees) incurred by an Indemnified Person in defending any proceeding in advance of its final disposition; provided, however, that, to the extent required by applicable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the Articles of Association or otherwise.</w:t>
      </w:r>
    </w:p>
    <w:p>
      <w:pPr>
        <w:spacing w:after="0" w:line="143" w:lineRule="exact"/>
        <w:rPr>
          <w:sz w:val="20"/>
          <w:szCs w:val="20"/>
          <w:color w:val="auto"/>
        </w:rPr>
      </w:pPr>
    </w:p>
    <w:p>
      <w:pPr>
        <w:ind w:right="420" w:firstLine="335"/>
        <w:spacing w:after="0" w:line="266" w:lineRule="auto"/>
        <w:rPr>
          <w:sz w:val="20"/>
          <w:szCs w:val="20"/>
          <w:color w:val="auto"/>
        </w:rPr>
      </w:pPr>
      <w:r>
        <w:rPr>
          <w:rFonts w:ascii="Times New Roman" w:cs="Times New Roman" w:eastAsia="Times New Roman" w:hAnsi="Times New Roman"/>
          <w:sz w:val="14"/>
          <w:szCs w:val="14"/>
          <w:color w:val="auto"/>
        </w:rPr>
        <w:t>The rights to indemnification and advancement of expenses conferred on any Indemnified Person as set out above are not exclusive of any other rights that any Indemnified Person may have or hereafter acquire pursuant to an agreement with the Company or otherwise.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Enforcement of Civil Liabilities</w:t>
      </w:r>
    </w:p>
    <w:p>
      <w:pPr>
        <w:spacing w:after="0" w:line="171" w:lineRule="exact"/>
        <w:rPr>
          <w:sz w:val="20"/>
          <w:szCs w:val="20"/>
          <w:color w:val="auto"/>
        </w:rPr>
      </w:pPr>
    </w:p>
    <w:p>
      <w:pPr>
        <w:ind w:right="340" w:firstLine="335"/>
        <w:spacing w:after="0" w:line="266" w:lineRule="auto"/>
        <w:rPr>
          <w:sz w:val="20"/>
          <w:szCs w:val="20"/>
          <w:color w:val="auto"/>
        </w:rPr>
      </w:pPr>
      <w:r>
        <w:rPr>
          <w:rFonts w:ascii="Times New Roman" w:cs="Times New Roman" w:eastAsia="Times New Roman" w:hAnsi="Times New Roman"/>
          <w:sz w:val="14"/>
          <w:szCs w:val="14"/>
          <w:color w:val="auto"/>
        </w:rPr>
        <w:t>The Cayman Islands has a different body of securities laws as compared to the United States and may provide less protection to investors. Additionally, Cayman Islands companies may not have standing to sue before the Federal courts of the United States.</w:t>
      </w:r>
    </w:p>
    <w:p>
      <w:pPr>
        <w:spacing w:after="0" w:line="136" w:lineRule="exact"/>
        <w:rPr>
          <w:sz w:val="20"/>
          <w:szCs w:val="20"/>
          <w:color w:val="auto"/>
        </w:rPr>
      </w:pPr>
    </w:p>
    <w:p>
      <w:pPr>
        <w:ind w:right="80" w:firstLine="335"/>
        <w:spacing w:after="0" w:line="277" w:lineRule="auto"/>
        <w:rPr>
          <w:sz w:val="20"/>
          <w:szCs w:val="20"/>
          <w:color w:val="auto"/>
        </w:rPr>
      </w:pPr>
      <w:r>
        <w:rPr>
          <w:rFonts w:ascii="Times New Roman" w:cs="Times New Roman" w:eastAsia="Times New Roman" w:hAnsi="Times New Roman"/>
          <w:sz w:val="13"/>
          <w:szCs w:val="13"/>
          <w:color w:val="auto"/>
        </w:rPr>
        <w:t>There is uncertainty as to whether the courts of the Cayman Islands will recognize and enforce against us, our directors and/or executive officers in the United States judgments obtained in the United States courts predicated upon the civil liability provisions of the securities laws of the United States. The courts of the Cayman Islands may be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w:t>
      </w:r>
    </w:p>
    <w:p>
      <w:pPr>
        <w:spacing w:after="0" w:line="131" w:lineRule="exact"/>
        <w:rPr>
          <w:sz w:val="20"/>
          <w:szCs w:val="20"/>
          <w:color w:val="auto"/>
        </w:rPr>
      </w:pPr>
    </w:p>
    <w:p>
      <w:pPr>
        <w:ind w:right="80" w:firstLine="335"/>
        <w:spacing w:after="0" w:line="255" w:lineRule="auto"/>
        <w:rPr>
          <w:sz w:val="20"/>
          <w:szCs w:val="20"/>
          <w:color w:val="auto"/>
        </w:rPr>
      </w:pPr>
      <w:r>
        <w:rPr>
          <w:rFonts w:ascii="Times New Roman" w:cs="Times New Roman" w:eastAsia="Times New Roman" w:hAnsi="Times New Roman"/>
          <w:sz w:val="14"/>
          <w:szCs w:val="14"/>
          <w:color w:val="auto"/>
        </w:rPr>
        <w:t>In those circumstances, although there is no statutory enforcement in the Cayman Islands of judgments obtained in the United States (and the Cayman Islands are not a party to any treaties for the reciprocal enforcement or recognition of such judgments with the United States), the courts of the Cayman Islands may, by an action commenced on the judgment obtained in the United States in the courts of the Cayman islands, recognize and enforce,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80"/>
          </w:cols>
          <w:pgMar w:left="300" w:top="1276" w:right="319" w:bottom="1440" w:gutter="0" w:footer="0" w:header="0"/>
        </w:sectPr>
      </w:pPr>
    </w:p>
    <w:bookmarkStart w:id="21" w:name="page22"/>
    <w:bookmarkEnd w:id="21"/>
    <w:p>
      <w:pPr>
        <w:spacing w:after="0" w:line="271" w:lineRule="auto"/>
        <w:rPr>
          <w:sz w:val="20"/>
          <w:szCs w:val="20"/>
          <w:color w:val="auto"/>
        </w:rPr>
      </w:pPr>
      <w:r>
        <w:rPr>
          <w:rFonts w:ascii="Times New Roman" w:cs="Times New Roman" w:eastAsia="Times New Roman" w:hAnsi="Times New Roman"/>
          <w:sz w:val="13"/>
          <w:szCs w:val="13"/>
          <w:color w:val="auto"/>
        </w:rPr>
        <w:t>retrial of the merits at common law, a foreign money judgment of a foreign court of competent jurisdiction provided certain conditions are met. For a foreign judgment to be enforced in the Cayman Islands, the court must have had proper jurisdiction over the parties subject to such judgment as a matter of Cayman Islands conflict of law rules, and such judgment must be: final and conclusive and for a liquidated sum, and must not be in respect of multiple damages, taxes or a fine or penalty, or other charges of a like natures,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no new admissible evidence relevant to the action is submitted prior to the rendering of the judgment by the courts of the Cayman Islands; and there is due compliance with the correct procedures under the laws of the Cayman Islands. A Cayman Islands Court may stay enforcement proceedings if concurrent proceedings are being brought elsewhere.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Computershare Trust Company N.A. serves as the transfer agent and registrar for the Company’s ordinary shares.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Company’s ordinary shares are listed on The Nasdaq Capital Market under the symbol “CBIO.” The CUSIP assigned to the Company’s ordinary shares is G2545C104.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80"/>
          </w:cols>
          <w:pgMar w:left="300" w:top="1276"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1" w:lineRule="exact"/>
        <w:rPr>
          <w:sz w:val="20"/>
          <w:szCs w:val="20"/>
          <w:color w:val="auto"/>
        </w:rPr>
      </w:pPr>
    </w:p>
    <w:p>
      <w:pPr>
        <w:jc w:val="both"/>
        <w:ind w:right="60" w:firstLine="335"/>
        <w:spacing w:after="0" w:line="255"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43" w:lineRule="exact"/>
        <w:rPr>
          <w:sz w:val="20"/>
          <w:szCs w:val="20"/>
          <w:color w:val="auto"/>
        </w:rPr>
      </w:pPr>
    </w:p>
    <w:p>
      <w:pPr>
        <w:ind w:right="180" w:firstLine="335"/>
        <w:spacing w:after="0" w:line="255" w:lineRule="auto"/>
        <w:rPr>
          <w:sz w:val="20"/>
          <w:szCs w:val="20"/>
          <w:color w:val="auto"/>
        </w:rPr>
      </w:pPr>
      <w:r>
        <w:rPr>
          <w:rFonts w:ascii="Times New Roman" w:cs="Times New Roman" w:eastAsia="Times New Roman" w:hAnsi="Times New Roman"/>
          <w:sz w:val="14"/>
          <w:szCs w:val="14"/>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43" w:lineRule="exact"/>
        <w:rPr>
          <w:sz w:val="20"/>
          <w:szCs w:val="20"/>
          <w:color w:val="auto"/>
        </w:rPr>
      </w:pPr>
    </w:p>
    <w:p>
      <w:pPr>
        <w:ind w:right="180" w:firstLine="335"/>
        <w:spacing w:after="0" w:line="255" w:lineRule="auto"/>
        <w:rPr>
          <w:sz w:val="20"/>
          <w:szCs w:val="20"/>
          <w:color w:val="auto"/>
        </w:rPr>
      </w:pPr>
      <w:r>
        <w:rPr>
          <w:rFonts w:ascii="Times New Roman" w:cs="Times New Roman" w:eastAsia="Times New Roman" w:hAnsi="Times New Roman"/>
          <w:sz w:val="14"/>
          <w:szCs w:val="14"/>
          <w:color w:val="auto"/>
        </w:rPr>
        <w:t>The debt securities will be issued under an indenture between us and a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Capitalized terms used in the summary and not defined herein have the meanings specified in the indenture.</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As used in this section only, “Crescent,” “we,” “our” or “us” refer to Crescent Biopharma, Inc., excluding our subsidiaries, unless expressly stated or the context otherwise requires.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9" w:lineRule="exact"/>
        <w:rPr>
          <w:sz w:val="20"/>
          <w:szCs w:val="20"/>
          <w:color w:val="auto"/>
        </w:rPr>
      </w:pPr>
    </w:p>
    <w:p>
      <w:pPr>
        <w:ind w:right="80" w:firstLine="335"/>
        <w:spacing w:after="0" w:line="255" w:lineRule="auto"/>
        <w:rPr>
          <w:sz w:val="20"/>
          <w:szCs w:val="20"/>
          <w:color w:val="auto"/>
        </w:rPr>
      </w:pPr>
      <w:r>
        <w:rPr>
          <w:rFonts w:ascii="Times New Roman" w:cs="Times New Roman" w:eastAsia="Times New Roman" w:hAnsi="Times New Roman"/>
          <w:sz w:val="14"/>
          <w:szCs w:val="14"/>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(as applicable). The particular terms of each series of debt securities will be described in a prospectus supplement relating to such series (including any pricing supplement or term sheet).</w:t>
      </w:r>
    </w:p>
    <w:p>
      <w:pPr>
        <w:spacing w:after="0" w:line="143" w:lineRule="exact"/>
        <w:rPr>
          <w:sz w:val="20"/>
          <w:szCs w:val="20"/>
          <w:color w:val="auto"/>
        </w:rPr>
      </w:pPr>
    </w:p>
    <w:p>
      <w:pPr>
        <w:jc w:val="both"/>
        <w:ind w:firstLine="335"/>
        <w:spacing w:after="0" w:line="255" w:lineRule="auto"/>
        <w:rPr>
          <w:sz w:val="20"/>
          <w:szCs w:val="20"/>
          <w:color w:val="auto"/>
        </w:rPr>
      </w:pPr>
      <w:r>
        <w:rPr>
          <w:rFonts w:ascii="Times New Roman" w:cs="Times New Roman" w:eastAsia="Times New Roman" w:hAnsi="Times New Roman"/>
          <w:sz w:val="14"/>
          <w:szCs w:val="14"/>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43" w:lineRule="exact"/>
        <w:rPr>
          <w:sz w:val="20"/>
          <w:szCs w:val="20"/>
          <w:color w:val="auto"/>
        </w:rPr>
      </w:pPr>
    </w:p>
    <w:p>
      <w:pPr>
        <w:ind w:left="820" w:hanging="237"/>
        <w:spacing w:after="0"/>
        <w:tabs>
          <w:tab w:leader="none" w:pos="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ranking of the debt securities (including the terms of any subordination provisions);</w:t>
      </w:r>
    </w:p>
    <w:p>
      <w:pPr>
        <w:spacing w:after="0" w:line="14" w:lineRule="exact"/>
        <w:rPr>
          <w:rFonts w:ascii="Times New Roman" w:cs="Times New Roman" w:eastAsia="Times New Roman" w:hAnsi="Times New Roman"/>
          <w:sz w:val="14"/>
          <w:szCs w:val="14"/>
          <w:color w:val="auto"/>
        </w:rPr>
      </w:pPr>
    </w:p>
    <w:p>
      <w:pPr>
        <w:ind w:left="820" w:hanging="237"/>
        <w:spacing w:after="0"/>
        <w:tabs>
          <w:tab w:leader="none" w:pos="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(expressed as a percentage of the principal amount) at which we will sell the debt securities;</w:t>
      </w:r>
    </w:p>
    <w:p>
      <w:pPr>
        <w:spacing w:after="0" w:line="3" w:lineRule="exact"/>
        <w:rPr>
          <w:rFonts w:ascii="Times New Roman" w:cs="Times New Roman" w:eastAsia="Times New Roman" w:hAnsi="Times New Roman"/>
          <w:sz w:val="14"/>
          <w:szCs w:val="14"/>
          <w:color w:val="auto"/>
        </w:rPr>
      </w:pPr>
    </w:p>
    <w:p>
      <w:pPr>
        <w:ind w:left="820" w:hanging="237"/>
        <w:spacing w:after="0"/>
        <w:tabs>
          <w:tab w:leader="none" w:pos="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w:t>
      </w:r>
    </w:p>
    <w:p>
      <w:pPr>
        <w:spacing w:after="0" w:line="3" w:lineRule="exact"/>
        <w:rPr>
          <w:rFonts w:ascii="Times New Roman" w:cs="Times New Roman" w:eastAsia="Times New Roman" w:hAnsi="Times New Roman"/>
          <w:sz w:val="14"/>
          <w:szCs w:val="14"/>
          <w:color w:val="auto"/>
        </w:rPr>
      </w:pPr>
    </w:p>
    <w:p>
      <w:pPr>
        <w:ind w:left="820" w:hanging="237"/>
        <w:spacing w:after="0"/>
        <w:tabs>
          <w:tab w:leader="none" w:pos="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securities of the series is payable;</w:t>
      </w:r>
    </w:p>
    <w:p>
      <w:pPr>
        <w:spacing w:after="0" w:line="3" w:lineRule="exact"/>
        <w:rPr>
          <w:rFonts w:ascii="Times New Roman" w:cs="Times New Roman" w:eastAsia="Times New Roman" w:hAnsi="Times New Roman"/>
          <w:sz w:val="14"/>
          <w:szCs w:val="14"/>
          <w:color w:val="auto"/>
        </w:rPr>
      </w:pPr>
    </w:p>
    <w:p>
      <w:pPr>
        <w:ind w:left="820" w:right="80" w:hanging="237"/>
        <w:spacing w:after="0" w:line="244" w:lineRule="auto"/>
        <w:tabs>
          <w:tab w:leader="none" w:pos="81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 w:lineRule="exact"/>
        <w:rPr>
          <w:rFonts w:ascii="Times New Roman" w:cs="Times New Roman" w:eastAsia="Times New Roman" w:hAnsi="Times New Roman"/>
          <w:sz w:val="14"/>
          <w:szCs w:val="14"/>
          <w:color w:val="auto"/>
        </w:rPr>
      </w:pPr>
    </w:p>
    <w:p>
      <w:pPr>
        <w:ind w:left="820" w:right="20" w:hanging="237"/>
        <w:spacing w:after="0" w:line="244" w:lineRule="auto"/>
        <w:tabs>
          <w:tab w:leader="none" w:pos="81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of, and interest, if any, on the debt securities will be payable (and the method of such payment), where the debt securities of such series may be surrendered for registration of transfer or exchange, and where notices and demands to us in respect of the debt securities may be delivered;</w:t>
      </w:r>
    </w:p>
    <w:p>
      <w:pPr>
        <w:ind w:left="820" w:hanging="237"/>
        <w:spacing w:after="0"/>
        <w:tabs>
          <w:tab w:leader="none" w:pos="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and the terms and conditions upon which we may redeem the debt securities;</w:t>
      </w:r>
    </w:p>
    <w:p>
      <w:pPr>
        <w:spacing w:after="0" w:line="3" w:lineRule="exact"/>
        <w:rPr>
          <w:rFonts w:ascii="Times New Roman" w:cs="Times New Roman" w:eastAsia="Times New Roman" w:hAnsi="Times New Roman"/>
          <w:sz w:val="14"/>
          <w:szCs w:val="14"/>
          <w:color w:val="auto"/>
        </w:rPr>
      </w:pPr>
    </w:p>
    <w:p>
      <w:pPr>
        <w:ind w:left="820" w:right="120" w:hanging="237"/>
        <w:spacing w:after="0" w:line="247" w:lineRule="auto"/>
        <w:tabs>
          <w:tab w:leader="none" w:pos="81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the debt securities of a particular series shall be redeemed or purchased, in whole or in part, pursuant to such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80"/>
          </w:cols>
          <w:pgMar w:left="300" w:top="1108" w:right="319" w:bottom="1440" w:gutter="0" w:footer="0" w:header="0"/>
        </w:sectPr>
      </w:pPr>
    </w:p>
    <w:bookmarkStart w:id="23" w:name="page24"/>
    <w:bookmarkEnd w:id="23"/>
    <w:p>
      <w:pPr>
        <w:ind w:left="820" w:hanging="237"/>
        <w:spacing w:after="0" w:line="253" w:lineRule="auto"/>
        <w:tabs>
          <w:tab w:leader="none" w:pos="81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and the price or prices at which we will repurchase debt securities at the option of the holders of debt securities and other detailed terms and provisions of these repurchase obligations;</w:t>
      </w:r>
    </w:p>
    <w:p>
      <w:pPr>
        <w:ind w:left="820" w:hanging="237"/>
        <w:spacing w:after="0"/>
        <w:tabs>
          <w:tab w:leader="none" w:pos="8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 if other than denominations of $1,000 and any integral multiple thereof;</w:t>
      </w:r>
    </w:p>
    <w:p>
      <w:pPr>
        <w:spacing w:after="0" w:line="3" w:lineRule="exact"/>
        <w:rPr>
          <w:rFonts w:ascii="Times New Roman" w:cs="Times New Roman" w:eastAsia="Times New Roman" w:hAnsi="Times New Roman"/>
          <w:sz w:val="14"/>
          <w:szCs w:val="14"/>
          <w:color w:val="auto"/>
        </w:rPr>
      </w:pPr>
    </w:p>
    <w:p>
      <w:pPr>
        <w:ind w:left="820" w:hanging="237"/>
        <w:spacing w:after="0"/>
        <w:tabs>
          <w:tab w:leader="none" w:pos="8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certificated debt securities or global debt securities;</w:t>
      </w:r>
    </w:p>
    <w:p>
      <w:pPr>
        <w:spacing w:after="0" w:line="3" w:lineRule="exact"/>
        <w:rPr>
          <w:rFonts w:ascii="Times New Roman" w:cs="Times New Roman" w:eastAsia="Times New Roman" w:hAnsi="Times New Roman"/>
          <w:sz w:val="14"/>
          <w:szCs w:val="14"/>
          <w:color w:val="auto"/>
        </w:rPr>
      </w:pPr>
    </w:p>
    <w:p>
      <w:pPr>
        <w:ind w:left="820" w:hanging="237"/>
        <w:spacing w:after="0"/>
        <w:tabs>
          <w:tab w:leader="none" w:pos="8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principal amount of the debt securities payable upon declaration of acceleration of the maturity date, if other than the principal amount;</w:t>
      </w:r>
    </w:p>
    <w:p>
      <w:pPr>
        <w:spacing w:after="0" w:line="3" w:lineRule="exact"/>
        <w:rPr>
          <w:rFonts w:ascii="Times New Roman" w:cs="Times New Roman" w:eastAsia="Times New Roman" w:hAnsi="Times New Roman"/>
          <w:sz w:val="14"/>
          <w:szCs w:val="14"/>
          <w:color w:val="auto"/>
        </w:rPr>
      </w:pPr>
    </w:p>
    <w:p>
      <w:pPr>
        <w:ind w:left="820" w:right="560" w:hanging="237"/>
        <w:spacing w:after="0" w:line="244" w:lineRule="auto"/>
        <w:tabs>
          <w:tab w:leader="none" w:pos="81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ind w:left="820" w:hanging="237"/>
        <w:spacing w:after="0"/>
        <w:tabs>
          <w:tab w:leader="none" w:pos="8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principal of, and premium and interest on, the debt securities will be made;</w:t>
      </w:r>
    </w:p>
    <w:p>
      <w:pPr>
        <w:spacing w:after="0" w:line="3" w:lineRule="exact"/>
        <w:rPr>
          <w:rFonts w:ascii="Times New Roman" w:cs="Times New Roman" w:eastAsia="Times New Roman" w:hAnsi="Times New Roman"/>
          <w:sz w:val="14"/>
          <w:szCs w:val="14"/>
          <w:color w:val="auto"/>
        </w:rPr>
      </w:pPr>
    </w:p>
    <w:p>
      <w:pPr>
        <w:ind w:left="820" w:right="280" w:hanging="237"/>
        <w:spacing w:after="0" w:line="244" w:lineRule="auto"/>
        <w:tabs>
          <w:tab w:leader="none" w:pos="81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w:t>
      </w:r>
    </w:p>
    <w:p>
      <w:pPr>
        <w:ind w:left="820" w:right="60" w:hanging="237"/>
        <w:spacing w:after="0" w:line="244" w:lineRule="auto"/>
        <w:tabs>
          <w:tab w:leader="none" w:pos="81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amounts of payment of principal of, and premium, if any, and interest on, the debt securities will be determined, if these amounts may be determined by reference to an index based on a currency or currencies or by reference to a commodity, commodity index, stock exchange index or financial index;</w:t>
      </w:r>
    </w:p>
    <w:p>
      <w:pPr>
        <w:ind w:left="820" w:hanging="237"/>
        <w:spacing w:after="0"/>
        <w:tabs>
          <w:tab w:leader="none" w:pos="8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any security provided for the debt securities;</w:t>
      </w:r>
    </w:p>
    <w:p>
      <w:pPr>
        <w:spacing w:after="0" w:line="3" w:lineRule="exact"/>
        <w:rPr>
          <w:rFonts w:ascii="Times New Roman" w:cs="Times New Roman" w:eastAsia="Times New Roman" w:hAnsi="Times New Roman"/>
          <w:sz w:val="14"/>
          <w:szCs w:val="14"/>
          <w:color w:val="auto"/>
        </w:rPr>
      </w:pPr>
    </w:p>
    <w:p>
      <w:pPr>
        <w:ind w:left="820" w:right="60" w:hanging="237"/>
        <w:spacing w:after="0" w:line="244" w:lineRule="auto"/>
        <w:tabs>
          <w:tab w:leader="none" w:pos="81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ind w:left="820" w:hanging="237"/>
        <w:spacing w:after="0"/>
        <w:tabs>
          <w:tab w:leader="none" w:pos="8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deletion of or change in the covenants described in this prospectus or in the indenture with respect to the debt securities;</w:t>
      </w:r>
    </w:p>
    <w:p>
      <w:pPr>
        <w:spacing w:after="0" w:line="3" w:lineRule="exact"/>
        <w:rPr>
          <w:rFonts w:ascii="Times New Roman" w:cs="Times New Roman" w:eastAsia="Times New Roman" w:hAnsi="Times New Roman"/>
          <w:sz w:val="14"/>
          <w:szCs w:val="14"/>
          <w:color w:val="auto"/>
        </w:rPr>
      </w:pPr>
    </w:p>
    <w:p>
      <w:pPr>
        <w:ind w:left="820" w:hanging="237"/>
        <w:spacing w:after="0"/>
        <w:tabs>
          <w:tab w:leader="none" w:pos="8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depositaries, interest rate calculation agents, exchange rate calculation agents or other agents with respect to the debt securities;</w:t>
      </w:r>
    </w:p>
    <w:p>
      <w:pPr>
        <w:spacing w:after="0" w:line="3" w:lineRule="exact"/>
        <w:rPr>
          <w:rFonts w:ascii="Times New Roman" w:cs="Times New Roman" w:eastAsia="Times New Roman" w:hAnsi="Times New Roman"/>
          <w:sz w:val="14"/>
          <w:szCs w:val="14"/>
          <w:color w:val="auto"/>
        </w:rPr>
      </w:pPr>
    </w:p>
    <w:p>
      <w:pPr>
        <w:ind w:left="820" w:right="140" w:hanging="237"/>
        <w:spacing w:after="0" w:line="244" w:lineRule="auto"/>
        <w:tabs>
          <w:tab w:leader="none" w:pos="81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ind w:left="820" w:right="340" w:hanging="237"/>
        <w:spacing w:after="0" w:line="244" w:lineRule="auto"/>
        <w:tabs>
          <w:tab w:leader="none" w:pos="81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ind w:left="820" w:hanging="237"/>
        <w:spacing w:after="0"/>
        <w:tabs>
          <w:tab w:leader="none" w:pos="8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our direct or indirect subsidiaries will guarantee the debt securities of that series, including the terms of subordination, if any, of such guarantees.</w:t>
      </w:r>
    </w:p>
    <w:p>
      <w:pPr>
        <w:spacing w:after="0" w:line="186" w:lineRule="exact"/>
        <w:rPr>
          <w:sz w:val="20"/>
          <w:szCs w:val="20"/>
          <w:color w:val="auto"/>
        </w:rPr>
      </w:pPr>
    </w:p>
    <w:p>
      <w:pPr>
        <w:ind w:right="40" w:firstLine="335"/>
        <w:spacing w:after="0" w:line="305" w:lineRule="auto"/>
        <w:rPr>
          <w:sz w:val="20"/>
          <w:szCs w:val="20"/>
          <w:color w:val="auto"/>
        </w:rPr>
      </w:pPr>
      <w:r>
        <w:rPr>
          <w:rFonts w:ascii="Times New Roman" w:cs="Times New Roman" w:eastAsia="Times New Roman" w:hAnsi="Times New Roman"/>
          <w:sz w:val="13"/>
          <w:szCs w:val="13"/>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12" w:lineRule="exact"/>
        <w:rPr>
          <w:sz w:val="20"/>
          <w:szCs w:val="20"/>
          <w:color w:val="auto"/>
        </w:rPr>
      </w:pPr>
    </w:p>
    <w:p>
      <w:pPr>
        <w:ind w:right="100" w:firstLine="335"/>
        <w:spacing w:after="0" w:line="284" w:lineRule="auto"/>
        <w:rPr>
          <w:sz w:val="20"/>
          <w:szCs w:val="20"/>
          <w:color w:val="auto"/>
        </w:rPr>
      </w:pPr>
      <w:r>
        <w:rPr>
          <w:rFonts w:ascii="Times New Roman" w:cs="Times New Roman" w:eastAsia="Times New Roman" w:hAnsi="Times New Roman"/>
          <w:sz w:val="13"/>
          <w:szCs w:val="13"/>
          <w:color w:val="auto"/>
        </w:rPr>
        <w:t>If we denominate the purchase price of any of the debt securities in a foreign currency or currencies or a foreign currency unit or units, or if the principal of, and premium, if any,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and Exchange</w:t>
      </w:r>
    </w:p>
    <w:p>
      <w:pPr>
        <w:spacing w:after="0" w:line="89" w:lineRule="exact"/>
        <w:rPr>
          <w:sz w:val="20"/>
          <w:szCs w:val="20"/>
          <w:color w:val="auto"/>
        </w:rPr>
      </w:pPr>
    </w:p>
    <w:p>
      <w:pPr>
        <w:ind w:right="160" w:firstLine="335"/>
        <w:spacing w:after="0" w:line="266" w:lineRule="auto"/>
        <w:rPr>
          <w:sz w:val="20"/>
          <w:szCs w:val="20"/>
          <w:color w:val="auto"/>
        </w:rPr>
      </w:pPr>
      <w:r>
        <w:rPr>
          <w:rFonts w:ascii="Times New Roman" w:cs="Times New Roman" w:eastAsia="Times New Roman" w:hAnsi="Times New Roman"/>
          <w:sz w:val="14"/>
          <w:szCs w:val="14"/>
          <w:color w:val="auto"/>
        </w:rPr>
        <w:t>Each debt security will be represented by either one or more global securities registered in the name of The Depository Trust Company (“DTC” or the “Depositary”) or a nominee of the Depositary (we will refer to any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240"/>
          </w:cols>
          <w:pgMar w:left="300" w:top="1112" w:right="359" w:bottom="1440" w:gutter="0" w:footer="0" w:header="0"/>
        </w:sectPr>
      </w:pPr>
    </w:p>
    <w:bookmarkStart w:id="24" w:name="page25"/>
    <w:bookmarkEnd w:id="24"/>
    <w:p>
      <w:pPr>
        <w:spacing w:after="0" w:line="255" w:lineRule="auto"/>
        <w:rPr>
          <w:sz w:val="20"/>
          <w:szCs w:val="20"/>
          <w:color w:val="auto"/>
        </w:rPr>
      </w:pPr>
      <w:r>
        <w:rPr>
          <w:rFonts w:ascii="Times New Roman" w:cs="Times New Roman" w:eastAsia="Times New Roman" w:hAnsi="Times New Roman"/>
          <w:sz w:val="14"/>
          <w:szCs w:val="14"/>
          <w:color w:val="auto"/>
        </w:rPr>
        <w:t>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39" w:lineRule="exact"/>
        <w:rPr>
          <w:sz w:val="20"/>
          <w:szCs w:val="20"/>
          <w:color w:val="auto"/>
        </w:rPr>
      </w:pPr>
    </w:p>
    <w:p>
      <w:pPr>
        <w:jc w:val="both"/>
        <w:ind w:right="80" w:firstLine="335"/>
        <w:spacing w:after="0" w:line="258" w:lineRule="auto"/>
        <w:rPr>
          <w:sz w:val="20"/>
          <w:szCs w:val="20"/>
          <w:color w:val="auto"/>
        </w:rPr>
      </w:pPr>
      <w:r>
        <w:rPr>
          <w:rFonts w:ascii="Times New Roman" w:cs="Times New Roman" w:eastAsia="Times New Roman" w:hAnsi="Times New Roman"/>
          <w:sz w:val="14"/>
          <w:szCs w:val="14"/>
          <w:i w:val="1"/>
          <w:iCs w:val="1"/>
          <w:color w:val="auto"/>
        </w:rPr>
        <w:t>Certificated Debt Securities</w:t>
      </w:r>
      <w:r>
        <w:rPr>
          <w:rFonts w:ascii="Times New Roman" w:cs="Times New Roman" w:eastAsia="Times New Roman" w:hAnsi="Times New Roman"/>
          <w:sz w:val="14"/>
          <w:szCs w:val="14"/>
          <w:color w:val="auto"/>
        </w:rPr>
        <w:t>. You may transfer or exchange certificated debt securities at any office we maintain for this purpose in accordance with the terms of the indenture. No service charge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 made for any transfer or exchange of certificated debt securities, but we may require payment of a sum sufficient to cover any tax or other governmental charge payable in connection with a transfer or exchange.</w:t>
      </w:r>
    </w:p>
    <w:p>
      <w:pPr>
        <w:spacing w:after="0" w:line="141" w:lineRule="exact"/>
        <w:rPr>
          <w:sz w:val="20"/>
          <w:szCs w:val="20"/>
          <w:color w:val="auto"/>
        </w:rPr>
      </w:pPr>
    </w:p>
    <w:p>
      <w:pPr>
        <w:ind w:right="100" w:firstLine="335"/>
        <w:spacing w:after="0" w:line="266" w:lineRule="auto"/>
        <w:rPr>
          <w:sz w:val="20"/>
          <w:szCs w:val="20"/>
          <w:color w:val="auto"/>
        </w:rPr>
      </w:pPr>
      <w:r>
        <w:rPr>
          <w:rFonts w:ascii="Times New Roman" w:cs="Times New Roman" w:eastAsia="Times New Roman" w:hAnsi="Times New Roman"/>
          <w:sz w:val="14"/>
          <w:szCs w:val="14"/>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32" w:lineRule="exact"/>
        <w:rPr>
          <w:sz w:val="20"/>
          <w:szCs w:val="20"/>
          <w:color w:val="auto"/>
        </w:rPr>
      </w:pPr>
    </w:p>
    <w:p>
      <w:pPr>
        <w:ind w:right="80" w:firstLine="335"/>
        <w:spacing w:after="0" w:line="272" w:lineRule="auto"/>
        <w:rPr>
          <w:sz w:val="20"/>
          <w:szCs w:val="20"/>
          <w:color w:val="auto"/>
        </w:rPr>
      </w:pPr>
      <w:r>
        <w:rPr>
          <w:rFonts w:ascii="Times New Roman" w:cs="Times New Roman" w:eastAsia="Times New Roman" w:hAnsi="Times New Roman"/>
          <w:sz w:val="14"/>
          <w:szCs w:val="14"/>
          <w:i w:val="1"/>
          <w:iCs w:val="1"/>
          <w:color w:val="auto"/>
        </w:rPr>
        <w:t>Global Debt Securities and Book-Entry System</w:t>
      </w:r>
      <w:r>
        <w:rPr>
          <w:rFonts w:ascii="Times New Roman" w:cs="Times New Roman" w:eastAsia="Times New Roman" w:hAnsi="Times New Roman"/>
          <w:sz w:val="14"/>
          <w:szCs w:val="14"/>
          <w:color w:val="auto"/>
        </w:rPr>
        <w:t>. Each global debt security representing book-entry debt securities will be deposited with, or on behalf of, the Depositary, and registered in the name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Depositary or a nominee of the Depositary.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We will set forth in the applicable prospectus supplement any restrictive covenants applicable to any issue of debt securities.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Protection in the Event of a Change of Control</w:t>
      </w:r>
    </w:p>
    <w:p>
      <w:pPr>
        <w:spacing w:after="0" w:line="89" w:lineRule="exact"/>
        <w:rPr>
          <w:sz w:val="20"/>
          <w:szCs w:val="20"/>
          <w:color w:val="auto"/>
        </w:rPr>
      </w:pPr>
    </w:p>
    <w:p>
      <w:pPr>
        <w:ind w:right="40" w:firstLine="335"/>
        <w:spacing w:after="0" w:line="266"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We may not consolidate with or merge with or into, or convey, transfer or lease all or substantially all of our properties and assets to, any person (a “successor person”) unless:</w:t>
      </w:r>
    </w:p>
    <w:p>
      <w:pPr>
        <w:spacing w:after="0" w:line="85" w:lineRule="exact"/>
        <w:rPr>
          <w:sz w:val="20"/>
          <w:szCs w:val="20"/>
          <w:color w:val="auto"/>
        </w:rPr>
      </w:pPr>
    </w:p>
    <w:p>
      <w:pPr>
        <w:ind w:left="820" w:right="480" w:hanging="237"/>
        <w:spacing w:after="0" w:line="253" w:lineRule="auto"/>
        <w:tabs>
          <w:tab w:leader="none" w:pos="81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the surviving entity or the successor person (if other than Crescent) is a corporation, partnership, trust or other entity organized and validly existing under the laws of any U.S. domestic jurisdiction and expressly assumes our obligations on the debt securities and under the indenture; and</w:t>
      </w:r>
    </w:p>
    <w:p>
      <w:pPr>
        <w:ind w:left="820" w:hanging="237"/>
        <w:spacing w:after="0"/>
        <w:tabs>
          <w:tab w:leader="none" w:pos="8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shall have occurred and be continuing.</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Notwithstanding the above, any of our subsidiaries may consolidate with, merge into or transfer all or part of its properties to us.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“Event of Default” means with respect to any series of debt securities, any of the following:</w:t>
      </w:r>
    </w:p>
    <w:p>
      <w:pPr>
        <w:spacing w:after="0" w:line="85" w:lineRule="exact"/>
        <w:rPr>
          <w:sz w:val="20"/>
          <w:szCs w:val="20"/>
          <w:color w:val="auto"/>
        </w:rPr>
      </w:pPr>
    </w:p>
    <w:p>
      <w:pPr>
        <w:ind w:left="820" w:hanging="237"/>
        <w:spacing w:after="0" w:line="253" w:lineRule="auto"/>
        <w:tabs>
          <w:tab w:leader="none" w:pos="81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ind w:left="820" w:hanging="237"/>
        <w:spacing w:after="0"/>
        <w:tabs>
          <w:tab w:leader="none" w:pos="8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any debt security of that series at its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240"/>
          </w:cols>
          <w:pgMar w:left="300" w:top="1194" w:right="359" w:bottom="1440" w:gutter="0" w:footer="0" w:header="0"/>
        </w:sectPr>
      </w:pPr>
    </w:p>
    <w:bookmarkStart w:id="25" w:name="page26"/>
    <w:bookmarkEnd w:id="25"/>
    <w:p>
      <w:pPr>
        <w:jc w:val="both"/>
        <w:ind w:left="820" w:right="140" w:hanging="237"/>
        <w:spacing w:after="0" w:line="269" w:lineRule="auto"/>
        <w:tabs>
          <w:tab w:leader="none" w:pos="817"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performance or breach of any other covenant or warranty by us in the indenture or any debt security (other than a covenant or warranty that has been included in the indenture solely for the benefit of a series of debt securities other than that series), which default continues uncured for a period of 60 days after we receive written notice from the trustee or Crescent and the trustee receive written notice from the holders of not less than 25% in principal amount of the outstanding debt securities of that series as provided in the indenture;</w:t>
      </w:r>
    </w:p>
    <w:p>
      <w:pPr>
        <w:spacing w:after="0" w:line="1" w:lineRule="exact"/>
        <w:rPr>
          <w:rFonts w:ascii="Times New Roman" w:cs="Times New Roman" w:eastAsia="Times New Roman" w:hAnsi="Times New Roman"/>
          <w:sz w:val="13"/>
          <w:szCs w:val="13"/>
          <w:color w:val="auto"/>
        </w:rPr>
      </w:pPr>
    </w:p>
    <w:p>
      <w:pPr>
        <w:ind w:left="820" w:hanging="237"/>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voluntary or involuntary events of bankruptcy, insolvency or reorganization of Crescent; or</w:t>
      </w:r>
    </w:p>
    <w:p>
      <w:pPr>
        <w:spacing w:after="0" w:line="3" w:lineRule="exact"/>
        <w:rPr>
          <w:rFonts w:ascii="Times New Roman" w:cs="Times New Roman" w:eastAsia="Times New Roman" w:hAnsi="Times New Roman"/>
          <w:sz w:val="14"/>
          <w:szCs w:val="14"/>
          <w:color w:val="auto"/>
        </w:rPr>
      </w:pPr>
    </w:p>
    <w:p>
      <w:pPr>
        <w:ind w:left="820" w:hanging="237"/>
        <w:spacing w:after="0"/>
        <w:tabs>
          <w:tab w:leader="none" w:pos="8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debt securities of that series that is described in the applicable prospectus supplement.</w:t>
      </w:r>
    </w:p>
    <w:p>
      <w:pPr>
        <w:spacing w:after="0" w:line="94" w:lineRule="exact"/>
        <w:rPr>
          <w:sz w:val="20"/>
          <w:szCs w:val="20"/>
          <w:color w:val="auto"/>
        </w:rPr>
      </w:pPr>
    </w:p>
    <w:p>
      <w:pPr>
        <w:ind w:right="140" w:firstLine="335"/>
        <w:spacing w:after="0" w:line="255" w:lineRule="auto"/>
        <w:rPr>
          <w:sz w:val="20"/>
          <w:szCs w:val="20"/>
          <w:color w:val="auto"/>
        </w:rPr>
      </w:pPr>
      <w:r>
        <w:rPr>
          <w:rFonts w:ascii="Times New Roman" w:cs="Times New Roman" w:eastAsia="Times New Roman" w:hAnsi="Times New Roman"/>
          <w:sz w:val="14"/>
          <w:szCs w:val="14"/>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43" w:lineRule="exact"/>
        <w:rPr>
          <w:sz w:val="20"/>
          <w:szCs w:val="20"/>
          <w:color w:val="auto"/>
        </w:rPr>
      </w:pPr>
    </w:p>
    <w:p>
      <w:pPr>
        <w:ind w:right="220" w:firstLine="335"/>
        <w:spacing w:after="0" w:line="266" w:lineRule="auto"/>
        <w:rPr>
          <w:sz w:val="20"/>
          <w:szCs w:val="20"/>
          <w:color w:val="auto"/>
        </w:rPr>
      </w:pPr>
      <w:r>
        <w:rPr>
          <w:rFonts w:ascii="Times New Roman" w:cs="Times New Roman" w:eastAsia="Times New Roman" w:hAnsi="Times New Roman"/>
          <w:sz w:val="14"/>
          <w:szCs w:val="14"/>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36" w:lineRule="exact"/>
        <w:rPr>
          <w:sz w:val="20"/>
          <w:szCs w:val="20"/>
          <w:color w:val="auto"/>
        </w:rPr>
      </w:pPr>
    </w:p>
    <w:p>
      <w:pPr>
        <w:ind w:firstLine="335"/>
        <w:spacing w:after="0" w:line="247"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50" w:lineRule="exact"/>
        <w:rPr>
          <w:sz w:val="20"/>
          <w:szCs w:val="20"/>
          <w:color w:val="auto"/>
        </w:rPr>
      </w:pPr>
    </w:p>
    <w:p>
      <w:pPr>
        <w:ind w:right="100" w:firstLine="335"/>
        <w:spacing w:after="0" w:line="252" w:lineRule="auto"/>
        <w:rPr>
          <w:sz w:val="20"/>
          <w:szCs w:val="20"/>
          <w:color w:val="auto"/>
        </w:rPr>
      </w:pPr>
      <w:r>
        <w:rPr>
          <w:rFonts w:ascii="Times New Roman" w:cs="Times New Roman" w:eastAsia="Times New Roman" w:hAnsi="Times New Roman"/>
          <w:sz w:val="14"/>
          <w:szCs w:val="14"/>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45" w:lineRule="exact"/>
        <w:rPr>
          <w:sz w:val="20"/>
          <w:szCs w:val="20"/>
          <w:color w:val="auto"/>
        </w:rPr>
      </w:pPr>
    </w:p>
    <w:p>
      <w:pPr>
        <w:ind w:right="40" w:firstLine="335"/>
        <w:spacing w:after="0" w:line="266" w:lineRule="auto"/>
        <w:rPr>
          <w:sz w:val="20"/>
          <w:szCs w:val="20"/>
          <w:color w:val="auto"/>
        </w:rPr>
      </w:pPr>
      <w:r>
        <w:rPr>
          <w:rFonts w:ascii="Times New Roman" w:cs="Times New Roman" w:eastAsia="Times New Roman" w:hAnsi="Times New Roman"/>
          <w:sz w:val="14"/>
          <w:szCs w:val="14"/>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36" w:lineRule="exact"/>
        <w:rPr>
          <w:sz w:val="20"/>
          <w:szCs w:val="20"/>
          <w:color w:val="auto"/>
        </w:rPr>
      </w:pPr>
    </w:p>
    <w:p>
      <w:pPr>
        <w:ind w:left="820" w:hanging="237"/>
        <w:spacing w:after="0"/>
        <w:tabs>
          <w:tab w:leader="none" w:pos="8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holder has previously given to the trustee written notice of a continuing Event of Default with respect to debt securities of that series; and</w:t>
      </w:r>
    </w:p>
    <w:p>
      <w:pPr>
        <w:spacing w:after="0" w:line="14" w:lineRule="exact"/>
        <w:rPr>
          <w:rFonts w:ascii="Times New Roman" w:cs="Times New Roman" w:eastAsia="Times New Roman" w:hAnsi="Times New Roman"/>
          <w:sz w:val="14"/>
          <w:szCs w:val="14"/>
          <w:color w:val="auto"/>
        </w:rPr>
      </w:pPr>
    </w:p>
    <w:p>
      <w:pPr>
        <w:ind w:left="820" w:hanging="237"/>
        <w:spacing w:after="0" w:line="247" w:lineRule="auto"/>
        <w:tabs>
          <w:tab w:leader="none" w:pos="81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60"/>
          </w:cols>
          <w:pgMar w:left="300" w:top="1112" w:right="339" w:bottom="1440" w:gutter="0" w:footer="0" w:header="0"/>
        </w:sectPr>
      </w:pPr>
    </w:p>
    <w:bookmarkStart w:id="26" w:name="page27"/>
    <w:bookmarkEnd w:id="26"/>
    <w:p>
      <w:pPr>
        <w:ind w:right="20" w:firstLine="335"/>
        <w:spacing w:after="0" w:line="266" w:lineRule="auto"/>
        <w:rPr>
          <w:sz w:val="20"/>
          <w:szCs w:val="20"/>
          <w:color w:val="auto"/>
        </w:rPr>
      </w:pPr>
      <w:r>
        <w:rPr>
          <w:rFonts w:ascii="Times New Roman" w:cs="Times New Roman" w:eastAsia="Times New Roman" w:hAnsi="Times New Roman"/>
          <w:sz w:val="14"/>
          <w:szCs w:val="14"/>
          <w:color w:val="auto"/>
        </w:rPr>
        <w:t>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w:t>
      </w:r>
    </w:p>
    <w:p>
      <w:pPr>
        <w:spacing w:after="0" w:line="136" w:lineRule="exact"/>
        <w:rPr>
          <w:sz w:val="20"/>
          <w:szCs w:val="20"/>
          <w:color w:val="auto"/>
        </w:rPr>
      </w:pPr>
    </w:p>
    <w:p>
      <w:pPr>
        <w:ind w:firstLine="335"/>
        <w:spacing w:after="0" w:line="250" w:lineRule="auto"/>
        <w:rPr>
          <w:sz w:val="20"/>
          <w:szCs w:val="20"/>
          <w:color w:val="auto"/>
        </w:rPr>
      </w:pPr>
      <w:r>
        <w:rPr>
          <w:rFonts w:ascii="Times New Roman" w:cs="Times New Roman" w:eastAsia="Times New Roman" w:hAnsi="Times New Roman"/>
          <w:sz w:val="14"/>
          <w:szCs w:val="14"/>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We and the trustee may modify, amend or supplement the indenture or the debt securities of any series without the consent of any holder of any debt security:</w:t>
      </w:r>
    </w:p>
    <w:p>
      <w:pPr>
        <w:spacing w:after="0" w:line="85" w:lineRule="exact"/>
        <w:rPr>
          <w:sz w:val="20"/>
          <w:szCs w:val="20"/>
          <w:color w:val="auto"/>
        </w:rPr>
      </w:pPr>
    </w:p>
    <w:p>
      <w:pPr>
        <w:ind w:left="840" w:hanging="247"/>
        <w:spacing w:after="0"/>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14" w:lineRule="exact"/>
        <w:rPr>
          <w:rFonts w:ascii="Times New Roman" w:cs="Times New Roman" w:eastAsia="Times New Roman" w:hAnsi="Times New Roman"/>
          <w:sz w:val="14"/>
          <w:szCs w:val="14"/>
          <w:color w:val="auto"/>
        </w:rPr>
      </w:pPr>
    </w:p>
    <w:p>
      <w:pPr>
        <w:ind w:left="840" w:hanging="247"/>
        <w:spacing w:after="0"/>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covenants in the indenture described above under the heading “Consolidation, Merger and Sale of Assets;”</w:t>
      </w:r>
    </w:p>
    <w:p>
      <w:pPr>
        <w:spacing w:after="0" w:line="3" w:lineRule="exact"/>
        <w:rPr>
          <w:rFonts w:ascii="Times New Roman" w:cs="Times New Roman" w:eastAsia="Times New Roman" w:hAnsi="Times New Roman"/>
          <w:sz w:val="14"/>
          <w:szCs w:val="14"/>
          <w:color w:val="auto"/>
        </w:rPr>
      </w:pPr>
    </w:p>
    <w:p>
      <w:pPr>
        <w:ind w:left="840" w:hanging="247"/>
        <w:spacing w:after="0"/>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3" w:lineRule="exact"/>
        <w:rPr>
          <w:rFonts w:ascii="Times New Roman" w:cs="Times New Roman" w:eastAsia="Times New Roman" w:hAnsi="Times New Roman"/>
          <w:sz w:val="14"/>
          <w:szCs w:val="14"/>
          <w:color w:val="auto"/>
        </w:rPr>
      </w:pPr>
    </w:p>
    <w:p>
      <w:pPr>
        <w:ind w:left="840" w:hanging="247"/>
        <w:spacing w:after="0"/>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guarantees with respect to debt securities of any series or secure debt securities of any series;</w:t>
      </w:r>
    </w:p>
    <w:p>
      <w:pPr>
        <w:spacing w:after="0" w:line="3" w:lineRule="exact"/>
        <w:rPr>
          <w:rFonts w:ascii="Times New Roman" w:cs="Times New Roman" w:eastAsia="Times New Roman" w:hAnsi="Times New Roman"/>
          <w:sz w:val="14"/>
          <w:szCs w:val="14"/>
          <w:color w:val="auto"/>
        </w:rPr>
      </w:pPr>
    </w:p>
    <w:p>
      <w:pPr>
        <w:ind w:left="840" w:hanging="247"/>
        <w:spacing w:after="0"/>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surrender any of our rights or powers under the indenture;</w:t>
      </w:r>
    </w:p>
    <w:p>
      <w:pPr>
        <w:spacing w:after="0" w:line="3" w:lineRule="exact"/>
        <w:rPr>
          <w:rFonts w:ascii="Times New Roman" w:cs="Times New Roman" w:eastAsia="Times New Roman" w:hAnsi="Times New Roman"/>
          <w:sz w:val="14"/>
          <w:szCs w:val="14"/>
          <w:color w:val="auto"/>
        </w:rPr>
      </w:pPr>
    </w:p>
    <w:p>
      <w:pPr>
        <w:ind w:left="840" w:hanging="247"/>
        <w:spacing w:after="0"/>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covenants or Events of Default for the benefit of the holders of debt securities of any series;</w:t>
      </w:r>
    </w:p>
    <w:p>
      <w:pPr>
        <w:spacing w:after="0" w:line="3" w:lineRule="exact"/>
        <w:rPr>
          <w:rFonts w:ascii="Times New Roman" w:cs="Times New Roman" w:eastAsia="Times New Roman" w:hAnsi="Times New Roman"/>
          <w:sz w:val="14"/>
          <w:szCs w:val="14"/>
          <w:color w:val="auto"/>
        </w:rPr>
      </w:pPr>
    </w:p>
    <w:p>
      <w:pPr>
        <w:ind w:left="840" w:hanging="247"/>
        <w:spacing w:after="0"/>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applicable procedures of the applicable depositary;</w:t>
      </w:r>
    </w:p>
    <w:p>
      <w:pPr>
        <w:spacing w:after="0" w:line="3" w:lineRule="exact"/>
        <w:rPr>
          <w:rFonts w:ascii="Times New Roman" w:cs="Times New Roman" w:eastAsia="Times New Roman" w:hAnsi="Times New Roman"/>
          <w:sz w:val="14"/>
          <w:szCs w:val="14"/>
          <w:color w:val="auto"/>
        </w:rPr>
      </w:pPr>
    </w:p>
    <w:p>
      <w:pPr>
        <w:ind w:left="840" w:hanging="247"/>
        <w:spacing w:after="0"/>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holder of debt securities;</w:t>
      </w:r>
    </w:p>
    <w:p>
      <w:pPr>
        <w:spacing w:after="0" w:line="3" w:lineRule="exact"/>
        <w:rPr>
          <w:rFonts w:ascii="Times New Roman" w:cs="Times New Roman" w:eastAsia="Times New Roman" w:hAnsi="Times New Roman"/>
          <w:sz w:val="14"/>
          <w:szCs w:val="14"/>
          <w:color w:val="auto"/>
        </w:rPr>
      </w:pPr>
    </w:p>
    <w:p>
      <w:pPr>
        <w:ind w:left="840" w:hanging="247"/>
        <w:spacing w:after="0"/>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debt securities of any series as permitted by the indenture;</w:t>
      </w:r>
    </w:p>
    <w:p>
      <w:pPr>
        <w:spacing w:after="0" w:line="3" w:lineRule="exact"/>
        <w:rPr>
          <w:rFonts w:ascii="Times New Roman" w:cs="Times New Roman" w:eastAsia="Times New Roman" w:hAnsi="Times New Roman"/>
          <w:sz w:val="14"/>
          <w:szCs w:val="14"/>
          <w:color w:val="auto"/>
        </w:rPr>
      </w:pPr>
    </w:p>
    <w:p>
      <w:pPr>
        <w:ind w:left="840" w:right="440" w:hanging="247"/>
        <w:spacing w:after="0" w:line="244" w:lineRule="auto"/>
        <w:tabs>
          <w:tab w:leader="none" w:pos="83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effect the appointment of a successor trustee with respect to the debt securities of any series and to add to or change any of the provisions of the indenture to provide for or facilitate administration by more than one trustee; or</w:t>
      </w:r>
    </w:p>
    <w:p>
      <w:pPr>
        <w:ind w:left="840" w:hanging="247"/>
        <w:spacing w:after="0"/>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the indenture under the Trust Indenture Act.</w:t>
      </w:r>
    </w:p>
    <w:p>
      <w:pPr>
        <w:spacing w:after="0" w:line="74" w:lineRule="exact"/>
        <w:rPr>
          <w:sz w:val="20"/>
          <w:szCs w:val="20"/>
          <w:color w:val="auto"/>
        </w:rPr>
      </w:pPr>
    </w:p>
    <w:p>
      <w:pPr>
        <w:ind w:right="60" w:firstLine="335"/>
        <w:spacing w:after="0" w:line="266" w:lineRule="auto"/>
        <w:rPr>
          <w:sz w:val="20"/>
          <w:szCs w:val="20"/>
          <w:color w:val="auto"/>
        </w:rPr>
      </w:pPr>
      <w:r>
        <w:rPr>
          <w:rFonts w:ascii="Times New Roman" w:cs="Times New Roman" w:eastAsia="Times New Roman" w:hAnsi="Times New Roman"/>
          <w:sz w:val="14"/>
          <w:szCs w:val="14"/>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53" w:lineRule="exact"/>
        <w:rPr>
          <w:sz w:val="20"/>
          <w:szCs w:val="20"/>
          <w:color w:val="auto"/>
        </w:rPr>
      </w:pPr>
    </w:p>
    <w:p>
      <w:pPr>
        <w:ind w:left="840" w:hanging="247"/>
        <w:spacing w:after="0"/>
        <w:tabs>
          <w:tab w:leader="none" w:pos="8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debt securities whose holders must consent to an amendment, supplement or waiver;</w:t>
      </w:r>
    </w:p>
    <w:p>
      <w:pPr>
        <w:spacing w:after="0" w:line="14" w:lineRule="exact"/>
        <w:rPr>
          <w:rFonts w:ascii="Times New Roman" w:cs="Times New Roman" w:eastAsia="Times New Roman" w:hAnsi="Times New Roman"/>
          <w:sz w:val="14"/>
          <w:szCs w:val="14"/>
          <w:color w:val="auto"/>
        </w:rPr>
      </w:pPr>
    </w:p>
    <w:p>
      <w:pPr>
        <w:ind w:left="840" w:hanging="247"/>
        <w:spacing w:after="0"/>
        <w:tabs>
          <w:tab w:leader="none" w:pos="8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 interest) on any debt security;</w:t>
      </w:r>
    </w:p>
    <w:p>
      <w:pPr>
        <w:spacing w:after="0" w:line="3" w:lineRule="exact"/>
        <w:rPr>
          <w:rFonts w:ascii="Times New Roman" w:cs="Times New Roman" w:eastAsia="Times New Roman" w:hAnsi="Times New Roman"/>
          <w:sz w:val="14"/>
          <w:szCs w:val="14"/>
          <w:color w:val="auto"/>
        </w:rPr>
      </w:pPr>
    </w:p>
    <w:p>
      <w:pPr>
        <w:ind w:left="840" w:right="60" w:hanging="247"/>
        <w:spacing w:after="0" w:line="244" w:lineRule="auto"/>
        <w:tabs>
          <w:tab w:leader="none" w:pos="83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ind w:left="840" w:hanging="247"/>
        <w:spacing w:after="0"/>
        <w:tabs>
          <w:tab w:leader="none" w:pos="8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discount securities payable upon acceleration of maturity;</w:t>
      </w:r>
    </w:p>
    <w:p>
      <w:pPr>
        <w:spacing w:after="0" w:line="3" w:lineRule="exact"/>
        <w:rPr>
          <w:rFonts w:ascii="Times New Roman" w:cs="Times New Roman" w:eastAsia="Times New Roman" w:hAnsi="Times New Roman"/>
          <w:sz w:val="14"/>
          <w:szCs w:val="14"/>
          <w:color w:val="auto"/>
        </w:rPr>
      </w:pPr>
    </w:p>
    <w:p>
      <w:pPr>
        <w:jc w:val="both"/>
        <w:ind w:left="840" w:right="100" w:hanging="247"/>
        <w:spacing w:after="0" w:line="263" w:lineRule="auto"/>
        <w:tabs>
          <w:tab w:leader="none" w:pos="837"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a Default or Event of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ind w:left="840" w:hanging="247"/>
        <w:spacing w:after="0"/>
        <w:tabs>
          <w:tab w:leader="none" w:pos="8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principal of, or premium or interest on, any debt security payable in currency other than that stated in the debt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80"/>
          </w:cols>
          <w:pgMar w:left="300" w:top="1378" w:right="319" w:bottom="1440" w:gutter="0" w:footer="0" w:header="0"/>
        </w:sectPr>
      </w:pPr>
    </w:p>
    <w:bookmarkStart w:id="27" w:name="page28"/>
    <w:bookmarkEnd w:id="27"/>
    <w:p>
      <w:pPr>
        <w:ind w:left="840" w:right="80" w:hanging="247"/>
        <w:spacing w:after="0" w:line="253" w:lineRule="auto"/>
        <w:tabs>
          <w:tab w:leader="none" w:pos="83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w:t>
      </w:r>
    </w:p>
    <w:p>
      <w:pPr>
        <w:ind w:left="840" w:hanging="247"/>
        <w:spacing w:after="0"/>
        <w:tabs>
          <w:tab w:leader="none" w:pos="8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debt security.</w:t>
      </w:r>
    </w:p>
    <w:p>
      <w:pPr>
        <w:spacing w:after="0" w:line="156" w:lineRule="exact"/>
        <w:rPr>
          <w:sz w:val="20"/>
          <w:szCs w:val="20"/>
          <w:color w:val="auto"/>
        </w:rPr>
      </w:pPr>
    </w:p>
    <w:p>
      <w:pPr>
        <w:ind w:right="20" w:firstLine="492"/>
        <w:spacing w:after="0" w:line="250" w:lineRule="auto"/>
        <w:rPr>
          <w:sz w:val="20"/>
          <w:szCs w:val="20"/>
          <w:color w:val="auto"/>
        </w:rPr>
      </w:pPr>
      <w:r>
        <w:rPr>
          <w:rFonts w:ascii="Times New Roman" w:cs="Times New Roman" w:eastAsia="Times New Roman" w:hAnsi="Times New Roman"/>
          <w:sz w:val="14"/>
          <w:szCs w:val="14"/>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Defeasance of Debt Securities and Certain Covenants in Certain Circumstances</w:t>
      </w:r>
    </w:p>
    <w:p>
      <w:pPr>
        <w:spacing w:after="0" w:line="85" w:lineRule="exact"/>
        <w:rPr>
          <w:sz w:val="20"/>
          <w:szCs w:val="20"/>
          <w:color w:val="auto"/>
        </w:rPr>
      </w:pPr>
    </w:p>
    <w:p>
      <w:pPr>
        <w:ind w:firstLine="335"/>
        <w:spacing w:after="0" w:line="250" w:lineRule="auto"/>
        <w:rPr>
          <w:sz w:val="20"/>
          <w:szCs w:val="20"/>
          <w:color w:val="auto"/>
        </w:rPr>
      </w:pPr>
      <w:r>
        <w:rPr>
          <w:rFonts w:ascii="Times New Roman" w:cs="Times New Roman" w:eastAsia="Times New Roman" w:hAnsi="Times New Roman"/>
          <w:sz w:val="14"/>
          <w:szCs w:val="14"/>
          <w:i w:val="1"/>
          <w:iCs w:val="1"/>
          <w:color w:val="auto"/>
        </w:rPr>
        <w:t>Legal Defeasance</w:t>
      </w:r>
      <w:r>
        <w:rPr>
          <w:rFonts w:ascii="Times New Roman" w:cs="Times New Roman" w:eastAsia="Times New Roman" w:hAnsi="Times New Roman"/>
          <w:sz w:val="14"/>
          <w:szCs w:val="14"/>
          <w:color w:val="auto"/>
        </w:rPr>
        <w:t>. The indenture provides that, unless otherwise provided by the terms of the applicable series of debt securities, we may be discharged from any and all obligations in respect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147" w:lineRule="exact"/>
        <w:rPr>
          <w:sz w:val="20"/>
          <w:szCs w:val="20"/>
          <w:color w:val="auto"/>
        </w:rPr>
      </w:pPr>
    </w:p>
    <w:p>
      <w:pPr>
        <w:ind w:right="20" w:firstLine="335"/>
        <w:spacing w:after="0" w:line="277" w:lineRule="auto"/>
        <w:rPr>
          <w:sz w:val="20"/>
          <w:szCs w:val="20"/>
          <w:color w:val="auto"/>
        </w:rPr>
      </w:pPr>
      <w:r>
        <w:rPr>
          <w:rFonts w:ascii="Times New Roman" w:cs="Times New Roman" w:eastAsia="Times New Roman" w:hAnsi="Times New Roman"/>
          <w:sz w:val="13"/>
          <w:szCs w:val="13"/>
          <w:color w:val="auto"/>
        </w:rPr>
        <w:t>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Defeasance of Certain Covenants</w:t>
      </w:r>
      <w:r>
        <w:rPr>
          <w:rFonts w:ascii="Times New Roman" w:cs="Times New Roman" w:eastAsia="Times New Roman" w:hAnsi="Times New Roman"/>
          <w:sz w:val="14"/>
          <w:szCs w:val="14"/>
          <w:color w:val="auto"/>
        </w:rPr>
        <w:t>. The indenture provides that, unless otherwise provided by the terms of the applicable series of debt securities, upon compliance with certain conditions:</w:t>
      </w:r>
    </w:p>
    <w:p>
      <w:pPr>
        <w:spacing w:after="0" w:line="171" w:lineRule="exact"/>
        <w:rPr>
          <w:sz w:val="20"/>
          <w:szCs w:val="20"/>
          <w:color w:val="auto"/>
        </w:rPr>
      </w:pPr>
    </w:p>
    <w:p>
      <w:pPr>
        <w:ind w:left="820" w:right="380" w:hanging="237"/>
        <w:spacing w:after="0" w:line="253" w:lineRule="auto"/>
        <w:tabs>
          <w:tab w:leader="none" w:pos="81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ind w:left="820" w:hanging="237"/>
        <w:spacing w:after="0"/>
        <w:tabs>
          <w:tab w:leader="none" w:pos="8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omission to comply with those covenants will not constitute a Default or an Event of Default with respect to the debt securities of that series (“covenant defeasance”).</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conditions include:</w:t>
      </w:r>
    </w:p>
    <w:p>
      <w:pPr>
        <w:spacing w:after="0" w:line="188" w:lineRule="exact"/>
        <w:rPr>
          <w:sz w:val="20"/>
          <w:szCs w:val="20"/>
          <w:color w:val="auto"/>
        </w:rPr>
      </w:pPr>
    </w:p>
    <w:p>
      <w:pPr>
        <w:ind w:left="840" w:hanging="247"/>
        <w:spacing w:after="0" w:line="252" w:lineRule="auto"/>
        <w:tabs>
          <w:tab w:leader="none" w:pos="83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60"/>
          </w:cols>
          <w:pgMar w:left="300" w:top="1111" w:right="339" w:bottom="1440" w:gutter="0" w:footer="0" w:header="0"/>
        </w:sectPr>
      </w:pPr>
    </w:p>
    <w:bookmarkStart w:id="28" w:name="page29"/>
    <w:bookmarkEnd w:id="28"/>
    <w:p>
      <w:pPr>
        <w:ind w:left="840"/>
        <w:spacing w:after="0"/>
        <w:rPr>
          <w:sz w:val="20"/>
          <w:szCs w:val="20"/>
          <w:color w:val="auto"/>
        </w:rPr>
      </w:pPr>
      <w:r>
        <w:rPr>
          <w:rFonts w:ascii="Times New Roman" w:cs="Times New Roman" w:eastAsia="Times New Roman" w:hAnsi="Times New Roman"/>
          <w:sz w:val="14"/>
          <w:szCs w:val="14"/>
          <w:color w:val="auto"/>
        </w:rPr>
        <w:t>respect of, the debt securities of that series on the stated maturity of those payments in accordance with the terms of the indenture and those debt securities; and</w:t>
      </w:r>
    </w:p>
    <w:p>
      <w:pPr>
        <w:spacing w:after="0" w:line="15" w:lineRule="exact"/>
        <w:rPr>
          <w:sz w:val="20"/>
          <w:szCs w:val="20"/>
          <w:color w:val="auto"/>
        </w:rPr>
      </w:pPr>
    </w:p>
    <w:p>
      <w:pPr>
        <w:ind w:left="840" w:right="20" w:hanging="247"/>
        <w:spacing w:after="0" w:line="247" w:lineRule="auto"/>
        <w:tabs>
          <w:tab w:leader="none" w:pos="83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Personal Liability of Directors, Officers, Employees or Securityholders</w:t>
      </w:r>
    </w:p>
    <w:p>
      <w:pPr>
        <w:spacing w:after="0" w:line="89" w:lineRule="exact"/>
        <w:rPr>
          <w:sz w:val="20"/>
          <w:szCs w:val="20"/>
          <w:color w:val="auto"/>
        </w:rPr>
      </w:pPr>
    </w:p>
    <w:p>
      <w:pPr>
        <w:ind w:right="40" w:firstLine="335"/>
        <w:spacing w:after="0" w:line="252" w:lineRule="auto"/>
        <w:rPr>
          <w:sz w:val="20"/>
          <w:szCs w:val="20"/>
          <w:color w:val="auto"/>
        </w:rPr>
      </w:pPr>
      <w:r>
        <w:rPr>
          <w:rFonts w:ascii="Times New Roman" w:cs="Times New Roman" w:eastAsia="Times New Roman" w:hAnsi="Times New Roman"/>
          <w:sz w:val="14"/>
          <w:szCs w:val="14"/>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indenture and the debt securities, including any claim or controversy arising out of or relating to the indenture or the debt securities, will be governed by the laws of the State of New York.</w:t>
      </w:r>
    </w:p>
    <w:p>
      <w:pPr>
        <w:spacing w:after="0" w:line="167" w:lineRule="exact"/>
        <w:rPr>
          <w:sz w:val="20"/>
          <w:szCs w:val="20"/>
          <w:color w:val="auto"/>
        </w:rPr>
      </w:pPr>
    </w:p>
    <w:p>
      <w:pPr>
        <w:ind w:right="80" w:firstLine="335"/>
        <w:spacing w:after="0" w:line="266" w:lineRule="auto"/>
        <w:rPr>
          <w:sz w:val="20"/>
          <w:szCs w:val="20"/>
          <w:color w:val="auto"/>
        </w:rPr>
      </w:pPr>
      <w:r>
        <w:rPr>
          <w:rFonts w:ascii="Times New Roman" w:cs="Times New Roman" w:eastAsia="Times New Roman" w:hAnsi="Times New Roman"/>
          <w:sz w:val="14"/>
          <w:szCs w:val="14"/>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36" w:lineRule="exact"/>
        <w:rPr>
          <w:sz w:val="20"/>
          <w:szCs w:val="20"/>
          <w:color w:val="auto"/>
        </w:rPr>
      </w:pPr>
    </w:p>
    <w:p>
      <w:pPr>
        <w:ind w:firstLine="335"/>
        <w:spacing w:after="0" w:line="248" w:lineRule="auto"/>
        <w:rPr>
          <w:sz w:val="20"/>
          <w:szCs w:val="20"/>
          <w:color w:val="auto"/>
        </w:rPr>
      </w:pPr>
      <w:r>
        <w:rPr>
          <w:rFonts w:ascii="Times New Roman" w:cs="Times New Roman" w:eastAsia="Times New Roman" w:hAnsi="Times New Roman"/>
          <w:sz w:val="14"/>
          <w:szCs w:val="14"/>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280"/>
          </w:cols>
          <w:pgMar w:left="300" w:top="1112" w:right="31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1" w:lineRule="exact"/>
        <w:rPr>
          <w:sz w:val="20"/>
          <w:szCs w:val="20"/>
          <w:color w:val="auto"/>
        </w:rPr>
      </w:pPr>
    </w:p>
    <w:p>
      <w:pPr>
        <w:ind w:firstLine="335"/>
        <w:spacing w:after="0" w:line="250" w:lineRule="auto"/>
        <w:rPr>
          <w:sz w:val="20"/>
          <w:szCs w:val="20"/>
          <w:color w:val="auto"/>
        </w:rPr>
      </w:pPr>
      <w:r>
        <w:rPr>
          <w:rFonts w:ascii="Times New Roman" w:cs="Times New Roman" w:eastAsia="Times New Roman" w:hAnsi="Times New Roman"/>
          <w:sz w:val="14"/>
          <w:szCs w:val="14"/>
          <w:color w:val="auto"/>
        </w:rPr>
        <w:t>We may issue warrants for the purchase of our ordinary shares or preferred shares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particular terms of any issue of warrants will be described in the prospectus supplement relating to the issue. Those terms may include:</w:t>
      </w:r>
    </w:p>
    <w:p>
      <w:pPr>
        <w:spacing w:after="0" w:line="167" w:lineRule="exact"/>
        <w:rPr>
          <w:sz w:val="20"/>
          <w:szCs w:val="20"/>
          <w:color w:val="auto"/>
        </w:rPr>
      </w:pPr>
    </w:p>
    <w:p>
      <w:pPr>
        <w:ind w:left="820" w:right="260" w:hanging="237"/>
        <w:spacing w:after="0" w:line="253" w:lineRule="auto"/>
        <w:tabs>
          <w:tab w:leader="none" w:pos="81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ordinary shares or preferred shares purchasable upon the exercise of warrants to purchase such shares and the price at which such number of shares may be purchased upon such exercise;</w:t>
      </w:r>
    </w:p>
    <w:p>
      <w:pPr>
        <w:ind w:left="820" w:right="400" w:hanging="237"/>
        <w:spacing w:after="0" w:line="244" w:lineRule="auto"/>
        <w:tabs>
          <w:tab w:leader="none" w:pos="81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stated value and terms (including, without limitation, liquidation, dividend, conversion and voting rights) of the series of preferred shares purchasable upon exercise of warrants to purchase preferred shares;</w:t>
      </w:r>
    </w:p>
    <w:p>
      <w:pPr>
        <w:ind w:left="820" w:right="440" w:hanging="237"/>
        <w:spacing w:after="0" w:line="244" w:lineRule="auto"/>
        <w:tabs>
          <w:tab w:leader="none" w:pos="81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debt securities that may be purchased upon exercise of a debt warrant and the exercise price for the warrants, which may be payable in cash, securities or other property;</w:t>
      </w:r>
    </w:p>
    <w:p>
      <w:pPr>
        <w:ind w:left="820" w:hanging="237"/>
        <w:spacing w:after="0"/>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the warrants and the related debt securities, preferred shares or ordinary shares will be separately transferable;</w:t>
      </w:r>
    </w:p>
    <w:p>
      <w:pPr>
        <w:spacing w:after="0" w:line="3" w:lineRule="exact"/>
        <w:rPr>
          <w:rFonts w:ascii="Times New Roman" w:cs="Times New Roman" w:eastAsia="Times New Roman" w:hAnsi="Times New Roman"/>
          <w:sz w:val="14"/>
          <w:szCs w:val="14"/>
          <w:color w:val="auto"/>
        </w:rPr>
      </w:pPr>
    </w:p>
    <w:p>
      <w:pPr>
        <w:ind w:left="820" w:hanging="237"/>
        <w:spacing w:after="0"/>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redeem or call the warrants;</w:t>
      </w:r>
    </w:p>
    <w:p>
      <w:pPr>
        <w:spacing w:after="0" w:line="3" w:lineRule="exact"/>
        <w:rPr>
          <w:rFonts w:ascii="Times New Roman" w:cs="Times New Roman" w:eastAsia="Times New Roman" w:hAnsi="Times New Roman"/>
          <w:sz w:val="14"/>
          <w:szCs w:val="14"/>
          <w:color w:val="auto"/>
        </w:rPr>
      </w:pPr>
    </w:p>
    <w:p>
      <w:pPr>
        <w:ind w:left="820" w:hanging="237"/>
        <w:spacing w:after="0"/>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commence and the date on which the right will expire;</w:t>
      </w:r>
    </w:p>
    <w:p>
      <w:pPr>
        <w:spacing w:after="0" w:line="3" w:lineRule="exact"/>
        <w:rPr>
          <w:rFonts w:ascii="Times New Roman" w:cs="Times New Roman" w:eastAsia="Times New Roman" w:hAnsi="Times New Roman"/>
          <w:sz w:val="14"/>
          <w:szCs w:val="14"/>
          <w:color w:val="auto"/>
        </w:rPr>
      </w:pPr>
    </w:p>
    <w:p>
      <w:pPr>
        <w:ind w:left="820" w:hanging="237"/>
        <w:spacing w:after="0"/>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federal income tax consequences applicable to the warrants; and</w:t>
      </w:r>
    </w:p>
    <w:p>
      <w:pPr>
        <w:spacing w:after="0" w:line="3" w:lineRule="exact"/>
        <w:rPr>
          <w:rFonts w:ascii="Times New Roman" w:cs="Times New Roman" w:eastAsia="Times New Roman" w:hAnsi="Times New Roman"/>
          <w:sz w:val="14"/>
          <w:szCs w:val="14"/>
          <w:color w:val="auto"/>
        </w:rPr>
      </w:pPr>
    </w:p>
    <w:p>
      <w:pPr>
        <w:ind w:left="820" w:hanging="237"/>
        <w:spacing w:after="0"/>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warrants, including terms, procedures, and limitations relating to the exchange, exercise and settlement of the warrants.</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Holders of equity warrants will not be entitled to:</w:t>
      </w:r>
    </w:p>
    <w:p>
      <w:pPr>
        <w:spacing w:after="0" w:line="167" w:lineRule="exact"/>
        <w:rPr>
          <w:sz w:val="20"/>
          <w:szCs w:val="20"/>
          <w:color w:val="auto"/>
        </w:rPr>
      </w:pPr>
    </w:p>
    <w:p>
      <w:pPr>
        <w:ind w:left="820" w:hanging="237"/>
        <w:spacing w:after="0"/>
        <w:tabs>
          <w:tab w:leader="none" w:pos="8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vote, consent or receive dividends;</w:t>
      </w:r>
    </w:p>
    <w:p>
      <w:pPr>
        <w:spacing w:after="0" w:line="14" w:lineRule="exact"/>
        <w:rPr>
          <w:rFonts w:ascii="Times New Roman" w:cs="Times New Roman" w:eastAsia="Times New Roman" w:hAnsi="Times New Roman"/>
          <w:sz w:val="14"/>
          <w:szCs w:val="14"/>
          <w:color w:val="auto"/>
        </w:rPr>
      </w:pPr>
    </w:p>
    <w:p>
      <w:pPr>
        <w:ind w:left="820" w:hanging="237"/>
        <w:spacing w:after="0"/>
        <w:tabs>
          <w:tab w:leader="none" w:pos="8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notice as shareholders with respect to any meeting of shareholders for the election of our directors or any other matter; or</w:t>
      </w:r>
    </w:p>
    <w:p>
      <w:pPr>
        <w:spacing w:after="0" w:line="3" w:lineRule="exact"/>
        <w:rPr>
          <w:rFonts w:ascii="Times New Roman" w:cs="Times New Roman" w:eastAsia="Times New Roman" w:hAnsi="Times New Roman"/>
          <w:sz w:val="14"/>
          <w:szCs w:val="14"/>
          <w:color w:val="auto"/>
        </w:rPr>
      </w:pPr>
    </w:p>
    <w:p>
      <w:pPr>
        <w:ind w:left="820" w:hanging="237"/>
        <w:spacing w:after="0"/>
        <w:tabs>
          <w:tab w:leader="none" w:pos="8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any rights as shareholders of Crescent.</w:t>
      </w:r>
    </w:p>
    <w:p>
      <w:pPr>
        <w:spacing w:after="0" w:line="258" w:lineRule="exact"/>
        <w:rPr>
          <w:sz w:val="20"/>
          <w:szCs w:val="20"/>
          <w:color w:val="auto"/>
        </w:rPr>
      </w:pPr>
    </w:p>
    <w:p>
      <w:pPr>
        <w:ind w:right="180" w:firstLine="335"/>
        <w:spacing w:after="0" w:line="255" w:lineRule="auto"/>
        <w:rPr>
          <w:sz w:val="20"/>
          <w:szCs w:val="20"/>
          <w:color w:val="auto"/>
        </w:rPr>
      </w:pPr>
      <w:r>
        <w:rPr>
          <w:rFonts w:ascii="Times New Roman" w:cs="Times New Roman" w:eastAsia="Times New Roman" w:hAnsi="Times New Roman"/>
          <w:sz w:val="14"/>
          <w:szCs w:val="14"/>
          <w:color w:val="auto"/>
        </w:rPr>
        <w:t>Each warrant will entitle its holder to purchase the principal amount of debt securities or the number preferred shares or ordinary shares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43" w:lineRule="exact"/>
        <w:rPr>
          <w:sz w:val="20"/>
          <w:szCs w:val="20"/>
          <w:color w:val="auto"/>
        </w:rPr>
      </w:pPr>
    </w:p>
    <w:p>
      <w:pPr>
        <w:ind w:right="100" w:firstLine="335"/>
        <w:spacing w:after="0" w:line="250" w:lineRule="auto"/>
        <w:rPr>
          <w:sz w:val="20"/>
          <w:szCs w:val="20"/>
          <w:color w:val="auto"/>
        </w:rPr>
      </w:pPr>
      <w:r>
        <w:rPr>
          <w:rFonts w:ascii="Times New Roman" w:cs="Times New Roman" w:eastAsia="Times New Roman" w:hAnsi="Times New Roman"/>
          <w:sz w:val="14"/>
          <w:szCs w:val="14"/>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ordinary shares or preferred shares are exercised, the holders of the warrants will not have any rights of holders of the underlying ordinary shares or preferred shares, including any rights to receive dividends or payments upon any liquidation, dissolution or winding up on the ordinary shares or preferred shares,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260"/>
          </w:cols>
          <w:pgMar w:left="300" w:top="1272" w:right="339" w:bottom="1440" w:gutter="0" w:footer="0" w:header="0"/>
        </w:sectPr>
      </w:pPr>
    </w:p>
    <w:bookmarkStart w:id="30" w:name="page31"/>
    <w:bookmarkEnd w:id="30"/>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71" w:lineRule="exact"/>
        <w:rPr>
          <w:sz w:val="20"/>
          <w:szCs w:val="20"/>
          <w:color w:val="auto"/>
        </w:rPr>
      </w:pPr>
    </w:p>
    <w:p>
      <w:pPr>
        <w:jc w:val="both"/>
        <w:ind w:firstLine="335"/>
        <w:spacing w:after="0" w:line="255" w:lineRule="auto"/>
        <w:rPr>
          <w:sz w:val="20"/>
          <w:szCs w:val="20"/>
          <w:color w:val="auto"/>
        </w:rPr>
      </w:pPr>
      <w:r>
        <w:rPr>
          <w:rFonts w:ascii="Times New Roman" w:cs="Times New Roman" w:eastAsia="Times New Roman" w:hAnsi="Times New Roman"/>
          <w:sz w:val="14"/>
          <w:szCs w:val="14"/>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43" w:lineRule="exact"/>
        <w:rPr>
          <w:sz w:val="20"/>
          <w:szCs w:val="20"/>
          <w:color w:val="auto"/>
        </w:rPr>
      </w:pPr>
    </w:p>
    <w:p>
      <w:pPr>
        <w:ind w:right="40" w:firstLine="335"/>
        <w:spacing w:after="0" w:line="252"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If we offer any units, certain terms of that series of units will be described in the applicable prospectus supplement, including, without limitation, the following, as applicable:</w:t>
      </w:r>
    </w:p>
    <w:p>
      <w:pPr>
        <w:spacing w:after="0" w:line="167" w:lineRule="exact"/>
        <w:rPr>
          <w:sz w:val="20"/>
          <w:szCs w:val="20"/>
          <w:color w:val="auto"/>
        </w:rPr>
      </w:pPr>
    </w:p>
    <w:p>
      <w:pPr>
        <w:ind w:left="820" w:hanging="237"/>
        <w:spacing w:after="0"/>
        <w:tabs>
          <w:tab w:leader="none" w:pos="8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of units;</w:t>
      </w:r>
    </w:p>
    <w:p>
      <w:pPr>
        <w:spacing w:after="0" w:line="14" w:lineRule="exact"/>
        <w:rPr>
          <w:rFonts w:ascii="Times New Roman" w:cs="Times New Roman" w:eastAsia="Times New Roman" w:hAnsi="Times New Roman"/>
          <w:sz w:val="14"/>
          <w:szCs w:val="14"/>
          <w:color w:val="auto"/>
        </w:rPr>
      </w:pPr>
    </w:p>
    <w:p>
      <w:pPr>
        <w:ind w:left="820" w:hanging="237"/>
        <w:spacing w:after="0"/>
        <w:tabs>
          <w:tab w:leader="none" w:pos="8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and description of the separate constituent securities comprising the units;</w:t>
      </w:r>
    </w:p>
    <w:p>
      <w:pPr>
        <w:spacing w:after="0" w:line="3" w:lineRule="exact"/>
        <w:rPr>
          <w:rFonts w:ascii="Times New Roman" w:cs="Times New Roman" w:eastAsia="Times New Roman" w:hAnsi="Times New Roman"/>
          <w:sz w:val="14"/>
          <w:szCs w:val="14"/>
          <w:color w:val="auto"/>
        </w:rPr>
      </w:pPr>
    </w:p>
    <w:p>
      <w:pPr>
        <w:ind w:left="820" w:hanging="237"/>
        <w:spacing w:after="0"/>
        <w:tabs>
          <w:tab w:leader="none" w:pos="8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the units will be issued;</w:t>
      </w:r>
    </w:p>
    <w:p>
      <w:pPr>
        <w:spacing w:after="0" w:line="3" w:lineRule="exact"/>
        <w:rPr>
          <w:rFonts w:ascii="Times New Roman" w:cs="Times New Roman" w:eastAsia="Times New Roman" w:hAnsi="Times New Roman"/>
          <w:sz w:val="14"/>
          <w:szCs w:val="14"/>
          <w:color w:val="auto"/>
        </w:rPr>
      </w:pPr>
    </w:p>
    <w:p>
      <w:pPr>
        <w:ind w:left="820" w:hanging="237"/>
        <w:spacing w:after="0"/>
        <w:tabs>
          <w:tab w:leader="none" w:pos="8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the constituent securities comprising the units will be separately transferable;</w:t>
      </w:r>
    </w:p>
    <w:p>
      <w:pPr>
        <w:spacing w:after="0" w:line="3" w:lineRule="exact"/>
        <w:rPr>
          <w:rFonts w:ascii="Times New Roman" w:cs="Times New Roman" w:eastAsia="Times New Roman" w:hAnsi="Times New Roman"/>
          <w:sz w:val="14"/>
          <w:szCs w:val="14"/>
          <w:color w:val="auto"/>
        </w:rPr>
      </w:pPr>
    </w:p>
    <w:p>
      <w:pPr>
        <w:ind w:left="820" w:hanging="237"/>
        <w:spacing w:after="0"/>
        <w:tabs>
          <w:tab w:leader="none" w:pos="8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certain U.S. federal income tax considerations applicable to the units; and</w:t>
      </w:r>
    </w:p>
    <w:p>
      <w:pPr>
        <w:spacing w:after="0" w:line="3" w:lineRule="exact"/>
        <w:rPr>
          <w:rFonts w:ascii="Times New Roman" w:cs="Times New Roman" w:eastAsia="Times New Roman" w:hAnsi="Times New Roman"/>
          <w:sz w:val="14"/>
          <w:szCs w:val="14"/>
          <w:color w:val="auto"/>
        </w:rPr>
      </w:pPr>
    </w:p>
    <w:p>
      <w:pPr>
        <w:ind w:left="820" w:hanging="237"/>
        <w:spacing w:after="0"/>
        <w:tabs>
          <w:tab w:leader="none" w:pos="8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units and their constituent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200"/>
          </w:cols>
          <w:pgMar w:left="300" w:top="1272" w:right="39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1" w:lineRule="exact"/>
        <w:rPr>
          <w:sz w:val="20"/>
          <w:szCs w:val="20"/>
          <w:color w:val="auto"/>
        </w:rPr>
      </w:pPr>
    </w:p>
    <w:p>
      <w:pPr>
        <w:ind w:right="320" w:firstLine="335"/>
        <w:spacing w:after="0" w:line="266" w:lineRule="auto"/>
        <w:rPr>
          <w:sz w:val="20"/>
          <w:szCs w:val="20"/>
          <w:color w:val="auto"/>
        </w:rPr>
      </w:pPr>
      <w:r>
        <w:rPr>
          <w:rFonts w:ascii="Times New Roman" w:cs="Times New Roman" w:eastAsia="Times New Roman" w:hAnsi="Times New Roman"/>
          <w:sz w:val="14"/>
          <w:szCs w:val="14"/>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136" w:lineRule="exact"/>
        <w:rPr>
          <w:sz w:val="20"/>
          <w:szCs w:val="20"/>
          <w:color w:val="auto"/>
        </w:rPr>
      </w:pPr>
    </w:p>
    <w:p>
      <w:pPr>
        <w:ind w:left="820" w:hanging="237"/>
        <w:spacing w:after="0"/>
        <w:tabs>
          <w:tab w:leader="none" w:pos="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14" w:lineRule="exact"/>
        <w:rPr>
          <w:rFonts w:ascii="Times New Roman" w:cs="Times New Roman" w:eastAsia="Times New Roman" w:hAnsi="Times New Roman"/>
          <w:sz w:val="14"/>
          <w:szCs w:val="14"/>
          <w:color w:val="auto"/>
        </w:rPr>
      </w:pPr>
    </w:p>
    <w:p>
      <w:pPr>
        <w:ind w:left="820" w:hanging="237"/>
        <w:spacing w:after="0"/>
        <w:tabs>
          <w:tab w:leader="none" w:pos="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3" w:lineRule="exact"/>
        <w:rPr>
          <w:rFonts w:ascii="Times New Roman" w:cs="Times New Roman" w:eastAsia="Times New Roman" w:hAnsi="Times New Roman"/>
          <w:sz w:val="14"/>
          <w:szCs w:val="14"/>
          <w:color w:val="auto"/>
        </w:rPr>
      </w:pPr>
    </w:p>
    <w:p>
      <w:pPr>
        <w:ind w:left="820" w:hanging="237"/>
        <w:spacing w:after="0"/>
        <w:tabs>
          <w:tab w:leader="none" w:pos="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3" w:lineRule="exact"/>
        <w:rPr>
          <w:rFonts w:ascii="Times New Roman" w:cs="Times New Roman" w:eastAsia="Times New Roman" w:hAnsi="Times New Roman"/>
          <w:sz w:val="14"/>
          <w:szCs w:val="14"/>
          <w:color w:val="auto"/>
        </w:rPr>
      </w:pPr>
    </w:p>
    <w:p>
      <w:pPr>
        <w:ind w:left="820" w:hanging="237"/>
        <w:spacing w:after="0"/>
        <w:tabs>
          <w:tab w:leader="none" w:pos="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258" w:lineRule="exact"/>
        <w:rPr>
          <w:sz w:val="20"/>
          <w:szCs w:val="20"/>
          <w:color w:val="auto"/>
        </w:rPr>
      </w:pPr>
    </w:p>
    <w:p>
      <w:pPr>
        <w:ind w:firstLine="335"/>
        <w:spacing w:after="0" w:line="266" w:lineRule="auto"/>
        <w:rPr>
          <w:sz w:val="20"/>
          <w:szCs w:val="20"/>
          <w:color w:val="auto"/>
        </w:rPr>
      </w:pPr>
      <w:r>
        <w:rPr>
          <w:rFonts w:ascii="Times New Roman" w:cs="Times New Roman" w:eastAsia="Times New Roman" w:hAnsi="Times New Roman"/>
          <w:sz w:val="14"/>
          <w:szCs w:val="14"/>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36" w:lineRule="exact"/>
        <w:rPr>
          <w:sz w:val="20"/>
          <w:szCs w:val="20"/>
          <w:color w:val="auto"/>
        </w:rPr>
      </w:pPr>
    </w:p>
    <w:p>
      <w:pPr>
        <w:ind w:right="360" w:firstLine="335"/>
        <w:spacing w:after="0" w:line="266" w:lineRule="auto"/>
        <w:rPr>
          <w:sz w:val="20"/>
          <w:szCs w:val="20"/>
          <w:color w:val="auto"/>
        </w:rPr>
      </w:pPr>
      <w:r>
        <w:rPr>
          <w:rFonts w:ascii="Times New Roman" w:cs="Times New Roman" w:eastAsia="Times New Roman" w:hAnsi="Times New Roman"/>
          <w:sz w:val="14"/>
          <w:szCs w:val="14"/>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36" w:lineRule="exact"/>
        <w:rPr>
          <w:sz w:val="20"/>
          <w:szCs w:val="20"/>
          <w:color w:val="auto"/>
        </w:rPr>
      </w:pPr>
    </w:p>
    <w:p>
      <w:pPr>
        <w:ind w:right="100" w:firstLine="335"/>
        <w:spacing w:after="0" w:line="266" w:lineRule="auto"/>
        <w:rPr>
          <w:sz w:val="20"/>
          <w:szCs w:val="20"/>
          <w:color w:val="auto"/>
        </w:rPr>
      </w:pPr>
      <w:r>
        <w:rPr>
          <w:rFonts w:ascii="Times New Roman" w:cs="Times New Roman" w:eastAsia="Times New Roman" w:hAnsi="Times New Roman"/>
          <w:sz w:val="14"/>
          <w:szCs w:val="14"/>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36" w:lineRule="exact"/>
        <w:rPr>
          <w:sz w:val="20"/>
          <w:szCs w:val="20"/>
          <w:color w:val="auto"/>
        </w:rPr>
      </w:pPr>
    </w:p>
    <w:p>
      <w:pPr>
        <w:ind w:right="140" w:firstLine="335"/>
        <w:spacing w:after="0" w:line="249" w:lineRule="auto"/>
        <w:rPr>
          <w:sz w:val="20"/>
          <w:szCs w:val="20"/>
          <w:color w:val="auto"/>
        </w:rPr>
      </w:pPr>
      <w:r>
        <w:rPr>
          <w:rFonts w:ascii="Times New Roman" w:cs="Times New Roman" w:eastAsia="Times New Roman" w:hAnsi="Times New Roman"/>
          <w:sz w:val="14"/>
          <w:szCs w:val="14"/>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47" w:lineRule="exact"/>
        <w:rPr>
          <w:sz w:val="20"/>
          <w:szCs w:val="20"/>
          <w:color w:val="auto"/>
        </w:rPr>
      </w:pPr>
    </w:p>
    <w:p>
      <w:pPr>
        <w:ind w:right="20" w:firstLine="335"/>
        <w:spacing w:after="0" w:line="250" w:lineRule="auto"/>
        <w:rPr>
          <w:sz w:val="20"/>
          <w:szCs w:val="20"/>
          <w:color w:val="auto"/>
        </w:rPr>
      </w:pPr>
      <w:r>
        <w:rPr>
          <w:rFonts w:ascii="Times New Roman" w:cs="Times New Roman" w:eastAsia="Times New Roman" w:hAnsi="Times New Roman"/>
          <w:sz w:val="14"/>
          <w:szCs w:val="14"/>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46" w:lineRule="exact"/>
        <w:rPr>
          <w:sz w:val="20"/>
          <w:szCs w:val="20"/>
          <w:color w:val="auto"/>
        </w:rPr>
      </w:pPr>
    </w:p>
    <w:p>
      <w:pPr>
        <w:ind w:right="100" w:firstLine="335"/>
        <w:spacing w:after="0" w:line="248" w:lineRule="auto"/>
        <w:rPr>
          <w:sz w:val="20"/>
          <w:szCs w:val="20"/>
          <w:color w:val="auto"/>
        </w:rPr>
      </w:pPr>
      <w:r>
        <w:rPr>
          <w:rFonts w:ascii="Times New Roman" w:cs="Times New Roman" w:eastAsia="Times New Roman" w:hAnsi="Times New Roman"/>
          <w:sz w:val="14"/>
          <w:szCs w:val="14"/>
          <w:color w:val="auto"/>
        </w:rPr>
        <w:t>Any ordinary shares will be listed on the Nasdaq Capital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280"/>
          </w:cols>
          <w:pgMar w:left="300" w:top="1108" w:right="319" w:bottom="1440" w:gutter="0" w:footer="0" w:header="0"/>
        </w:sectPr>
      </w:pPr>
    </w:p>
    <w:bookmarkStart w:id="32" w:name="page33"/>
    <w:bookmarkEnd w:id="32"/>
    <w:p>
      <w:pPr>
        <w:ind w:firstLine="335"/>
        <w:spacing w:after="0" w:line="270" w:lineRule="auto"/>
        <w:rPr>
          <w:sz w:val="20"/>
          <w:szCs w:val="20"/>
          <w:color w:val="auto"/>
        </w:rPr>
      </w:pPr>
      <w:r>
        <w:rPr>
          <w:rFonts w:ascii="Times New Roman" w:cs="Times New Roman" w:eastAsia="Times New Roman" w:hAnsi="Times New Roman"/>
          <w:sz w:val="13"/>
          <w:szCs w:val="13"/>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specific terms of any lock-up provisions in respect of any given offering will be described in the applicable prospectus supplement.</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underwriters, dealers and agents may engage in transactions with us, or perform services for us, in the ordinary course of business for which they receive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80"/>
          </w:cols>
          <w:pgMar w:left="300" w:top="1276" w:right="319" w:bottom="1440" w:gutter="0" w:footer="0" w:header="0"/>
        </w:sectPr>
      </w:pPr>
    </w:p>
    <w:bookmarkStart w:id="33" w:name="page34"/>
    <w:bookmarkEnd w:id="33"/>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1" w:lineRule="exact"/>
        <w:rPr>
          <w:sz w:val="20"/>
          <w:szCs w:val="20"/>
          <w:color w:val="auto"/>
        </w:rPr>
      </w:pPr>
    </w:p>
    <w:p>
      <w:pPr>
        <w:jc w:val="both"/>
        <w:ind w:firstLine="335"/>
        <w:spacing w:after="0" w:line="255" w:lineRule="auto"/>
        <w:rPr>
          <w:sz w:val="20"/>
          <w:szCs w:val="20"/>
          <w:color w:val="auto"/>
        </w:rPr>
      </w:pPr>
      <w:r>
        <w:rPr>
          <w:rFonts w:ascii="Times New Roman" w:cs="Times New Roman" w:eastAsia="Times New Roman" w:hAnsi="Times New Roman"/>
          <w:sz w:val="14"/>
          <w:szCs w:val="14"/>
          <w:color w:val="auto"/>
        </w:rPr>
        <w:t>Certain matters with respect to U.S. federal and New York State law will be passed upon for us by Latham &amp; Watkins LLP. Walkers (Cayman) LLP will pass upon the validity of the securities offered in this prospectus with respect to the Ordinary Shares and matters of Cayman Islands law. Additional legal matters may be passed upon for us, or any underwriters, dealers or agents, by counsel that we will name in the applicable prospectus supplement.</w:t>
      </w: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1" w:lineRule="exact"/>
        <w:rPr>
          <w:sz w:val="20"/>
          <w:szCs w:val="20"/>
          <w:color w:val="auto"/>
        </w:rPr>
      </w:pPr>
    </w:p>
    <w:p>
      <w:pPr>
        <w:jc w:val="both"/>
        <w:ind w:right="20" w:firstLine="335"/>
        <w:spacing w:after="0" w:line="266" w:lineRule="auto"/>
        <w:rPr>
          <w:sz w:val="20"/>
          <w:szCs w:val="20"/>
          <w:color w:val="auto"/>
        </w:rPr>
      </w:pPr>
      <w:r>
        <w:rPr>
          <w:rFonts w:ascii="Times New Roman" w:cs="Times New Roman" w:eastAsia="Times New Roman" w:hAnsi="Times New Roman"/>
          <w:sz w:val="14"/>
          <w:szCs w:val="14"/>
          <w:color w:val="auto"/>
        </w:rPr>
        <w:t>The financial statements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20"/>
          </w:cols>
          <w:pgMar w:left="300" w:top="1108" w:right="379" w:bottom="1440" w:gutter="0" w:footer="0" w:header="0"/>
        </w:sectPr>
      </w:pPr>
    </w:p>
    <w:bookmarkStart w:id="34" w:name="page35"/>
    <w:bookmarkEnd w:id="34"/>
    <w:p>
      <w:pPr>
        <w:ind w:right="180"/>
        <w:spacing w:after="0" w:line="272" w:lineRule="auto"/>
        <w:rPr>
          <w:sz w:val="20"/>
          <w:szCs w:val="20"/>
          <w:color w:val="auto"/>
        </w:rPr>
      </w:pPr>
      <w:r>
        <w:rPr>
          <w:rFonts w:ascii="Times New Roman" w:cs="Times New Roman" w:eastAsia="Times New Roman" w:hAnsi="Times New Roman"/>
          <w:sz w:val="14"/>
          <w:szCs w:val="14"/>
          <w:b w:val="1"/>
          <w:bCs w:val="1"/>
          <w:color w:val="FF4338"/>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FF4338"/>
        </w:rPr>
        <w:t>Subject to Completion, Dated July 1, 2026.</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2912745</wp:posOffset>
            </wp:positionH>
            <wp:positionV relativeFrom="paragraph">
              <wp:posOffset>12700</wp:posOffset>
            </wp:positionV>
            <wp:extent cx="1374140" cy="508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extLst>
                    </a:blip>
                    <a:srcRect/>
                    <a:stretch>
                      <a:fillRect/>
                    </a:stretch>
                  </pic:blipFill>
                  <pic:spPr bwMode="auto">
                    <a:xfrm>
                      <a:off x="0" y="0"/>
                      <a:ext cx="1374140" cy="508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Up to $200,000,000</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Ordinary Shares</w:t>
      </w:r>
    </w:p>
    <w:p>
      <w:pPr>
        <w:spacing w:after="0" w:line="148" w:lineRule="exact"/>
        <w:rPr>
          <w:sz w:val="20"/>
          <w:szCs w:val="20"/>
          <w:color w:val="auto"/>
        </w:rPr>
      </w:pPr>
    </w:p>
    <w:p>
      <w:pPr>
        <w:jc w:val="both"/>
        <w:ind w:right="100" w:firstLine="335"/>
        <w:spacing w:after="0" w:line="255" w:lineRule="auto"/>
        <w:rPr>
          <w:sz w:val="20"/>
          <w:szCs w:val="20"/>
          <w:color w:val="auto"/>
        </w:rPr>
      </w:pPr>
      <w:r>
        <w:rPr>
          <w:rFonts w:ascii="Times New Roman" w:cs="Times New Roman" w:eastAsia="Times New Roman" w:hAnsi="Times New Roman"/>
          <w:sz w:val="14"/>
          <w:szCs w:val="14"/>
          <w:color w:val="auto"/>
        </w:rPr>
        <w:t>We have entered into an Open Market Sale Agreement</w:t>
      </w:r>
      <w:r>
        <w:rPr>
          <w:rFonts w:ascii="Times New Roman" w:cs="Times New Roman" w:eastAsia="Times New Roman" w:hAnsi="Times New Roman"/>
          <w:sz w:val="6"/>
          <w:szCs w:val="6"/>
          <w:color w:val="auto"/>
        </w:rPr>
        <w:t>SM</w:t>
      </w:r>
      <w:r>
        <w:rPr>
          <w:rFonts w:ascii="Times New Roman" w:cs="Times New Roman" w:eastAsia="Times New Roman" w:hAnsi="Times New Roman"/>
          <w:sz w:val="14"/>
          <w:szCs w:val="14"/>
          <w:color w:val="auto"/>
        </w:rPr>
        <w:t xml:space="preserve"> (the “Sales Agreement”), with Jefferies LLC (“Jefferies”), dated July 1, 2026, relating to the offer and sale of our ordinary shares, par value US$0.001 per share, offered by this prospectus. In accordance with the terms of the Sales Agreement, under this prospectus, we may offer and sell our ordinary shares having an aggregate offering price of up to $200 million from time to time through Jefferies, acting as our sales agent.</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Our ordinary shares are listed on the Nasdaq Capital Market under the symbol “CBIO”. On June 30, 2026, the closing price of our ordinary shares was $18.00 per share.</w:t>
      </w:r>
    </w:p>
    <w:p>
      <w:pPr>
        <w:spacing w:after="0" w:line="126" w:lineRule="exact"/>
        <w:rPr>
          <w:sz w:val="20"/>
          <w:szCs w:val="20"/>
          <w:color w:val="auto"/>
        </w:rPr>
      </w:pPr>
    </w:p>
    <w:p>
      <w:pPr>
        <w:ind w:right="40" w:firstLine="335"/>
        <w:spacing w:after="0" w:line="255" w:lineRule="auto"/>
        <w:rPr>
          <w:sz w:val="20"/>
          <w:szCs w:val="20"/>
          <w:color w:val="auto"/>
        </w:rPr>
      </w:pPr>
      <w:r>
        <w:rPr>
          <w:rFonts w:ascii="Times New Roman" w:cs="Times New Roman" w:eastAsia="Times New Roman" w:hAnsi="Times New Roman"/>
          <w:sz w:val="14"/>
          <w:szCs w:val="14"/>
          <w:color w:val="auto"/>
        </w:rPr>
        <w:t>Sales of our ordinary shares, if any, under this prospectus will be made by any method permitted that is deemed an “at the market offering” as defined in Rule 415(a)(4) under the Securities Act of 1933, as amended (the “Securities Act”). Jefferies is not required to sell any specific amount but will act as our sales agent using commercially reasonable efforts consistent with its normal trading and sales practices, on mutually agreed terms between Jefferies and us. There is no arrangement for funds to be received in any escrow, trust or similar arrangement.</w:t>
      </w:r>
    </w:p>
    <w:p>
      <w:pPr>
        <w:spacing w:after="0" w:line="102" w:lineRule="exact"/>
        <w:rPr>
          <w:sz w:val="20"/>
          <w:szCs w:val="20"/>
          <w:color w:val="auto"/>
        </w:rPr>
      </w:pPr>
    </w:p>
    <w:p>
      <w:pPr>
        <w:ind w:firstLine="335"/>
        <w:spacing w:after="0" w:line="252" w:lineRule="auto"/>
        <w:rPr>
          <w:sz w:val="20"/>
          <w:szCs w:val="20"/>
          <w:color w:val="auto"/>
        </w:rPr>
      </w:pPr>
      <w:r>
        <w:rPr>
          <w:rFonts w:ascii="Times New Roman" w:cs="Times New Roman" w:eastAsia="Times New Roman" w:hAnsi="Times New Roman"/>
          <w:sz w:val="14"/>
          <w:szCs w:val="14"/>
          <w:color w:val="auto"/>
        </w:rPr>
        <w:t>The compensation to Jefferies for sales of our ordinary shares sold pursuant to the Sales Agreement will be 3.0% of the gross proceeds of any ordinary shares sold under the Sales Agreement. In connection with the sale of the ordinary shares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Securities Exchange Act of 1934, as amended (the “Exchange Act”). See “Plan of Distribution” beginning on page 14 regarding the compensation to be paid to Jefferies.</w:t>
      </w:r>
    </w:p>
    <w:p>
      <w:pPr>
        <w:spacing w:after="0" w:line="102" w:lineRule="exact"/>
        <w:rPr>
          <w:sz w:val="20"/>
          <w:szCs w:val="20"/>
          <w:color w:val="auto"/>
        </w:rPr>
      </w:pPr>
    </w:p>
    <w:p>
      <w:pPr>
        <w:ind w:right="80" w:firstLine="335"/>
        <w:spacing w:after="0" w:line="298" w:lineRule="auto"/>
        <w:rPr>
          <w:sz w:val="20"/>
          <w:szCs w:val="20"/>
          <w:color w:val="auto"/>
        </w:rPr>
      </w:pPr>
      <w:r>
        <w:rPr>
          <w:rFonts w:ascii="Times New Roman" w:cs="Times New Roman" w:eastAsia="Times New Roman" w:hAnsi="Times New Roman"/>
          <w:sz w:val="16"/>
          <w:szCs w:val="16"/>
          <w:b w:val="1"/>
          <w:bCs w:val="1"/>
          <w:color w:val="auto"/>
        </w:rPr>
        <w:t>Investing in our ordinary shares involves a high degree of risk. Before making an investment decision, please read the information under the heading “Risk Factors” beginning on page 7 of this prospectus and in the documents incorporated by reference into this prospectus.</w:t>
      </w:r>
    </w:p>
    <w:p>
      <w:pPr>
        <w:spacing w:after="0" w:line="54" w:lineRule="exact"/>
        <w:rPr>
          <w:sz w:val="20"/>
          <w:szCs w:val="20"/>
          <w:color w:val="auto"/>
        </w:rPr>
      </w:pPr>
    </w:p>
    <w:p>
      <w:pPr>
        <w:ind w:right="320" w:firstLine="335"/>
        <w:spacing w:after="0" w:line="272"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Jefferies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ectPr>
          <w:pgSz w:w="11900" w:h="16838" w:orient="portrait"/>
          <w:cols w:equalWidth="0" w:num="1">
            <w:col w:w="11260"/>
          </w:cols>
          <w:pgMar w:left="300" w:top="110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0"/>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650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00" w:type="dxa"/>
            <w:vAlign w:val="bottom"/>
          </w:tcPr>
          <w:p>
            <w:pPr>
              <w:spacing w:after="0"/>
              <w:rPr>
                <w:sz w:val="15"/>
                <w:szCs w:val="15"/>
                <w:color w:val="auto"/>
              </w:rPr>
            </w:pPr>
          </w:p>
        </w:tc>
      </w:tr>
      <w:tr>
        <w:trPr>
          <w:trHeight w:val="575"/>
        </w:trPr>
        <w:tc>
          <w:tcPr>
            <w:tcW w:w="1700" w:type="dxa"/>
            <w:vAlign w:val="bottom"/>
            <w:gridSpan w:val="7"/>
          </w:tcPr>
          <w:p>
            <w:pPr>
              <w:spacing w:after="0"/>
              <w:rPr>
                <w:sz w:val="20"/>
                <w:szCs w:val="20"/>
                <w:color w:val="auto"/>
              </w:rPr>
            </w:pPr>
            <w:r>
              <w:rPr>
                <w:rFonts w:ascii="Times New Roman" w:cs="Times New Roman" w:eastAsia="Times New Roman" w:hAnsi="Times New Roman"/>
                <w:sz w:val="14"/>
                <w:szCs w:val="14"/>
                <w:color w:val="0000EE"/>
                <w:w w:val="96"/>
              </w:rPr>
              <w:t>ABOUT THIS PROSPECTUS</w:t>
            </w:r>
          </w:p>
        </w:tc>
        <w:tc>
          <w:tcPr>
            <w:tcW w:w="9200" w:type="dxa"/>
            <w:vAlign w:val="bottom"/>
            <w:gridSpan w:val="3"/>
          </w:tcPr>
          <w:p>
            <w:pPr>
              <w:spacing w:after="0"/>
              <w:rPr>
                <w:sz w:val="24"/>
                <w:szCs w:val="24"/>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85"/>
        </w:trPr>
        <w:tc>
          <w:tcPr>
            <w:tcW w:w="5120" w:type="dxa"/>
            <w:vAlign w:val="bottom"/>
            <w:gridSpan w:val="9"/>
          </w:tcPr>
          <w:p>
            <w:pPr>
              <w:spacing w:after="0"/>
              <w:rPr>
                <w:sz w:val="20"/>
                <w:szCs w:val="20"/>
                <w:color w:val="auto"/>
              </w:rPr>
            </w:pPr>
            <w:r>
              <w:rPr>
                <w:rFonts w:ascii="Times New Roman" w:cs="Times New Roman" w:eastAsia="Times New Roman" w:hAnsi="Times New Roman"/>
                <w:sz w:val="14"/>
                <w:szCs w:val="14"/>
                <w:color w:val="0000EE"/>
                <w:w w:val="96"/>
              </w:rPr>
              <w:t>WHERE YOU CAN FIND MORE INFORMATION; INCORPORATION BY REFERENCE</w:t>
            </w:r>
          </w:p>
        </w:tc>
        <w:tc>
          <w:tcPr>
            <w:tcW w:w="5780" w:type="dxa"/>
            <w:vAlign w:val="bottom"/>
          </w:tcPr>
          <w:p>
            <w:pPr>
              <w:spacing w:after="0"/>
              <w:rPr>
                <w:sz w:val="16"/>
                <w:szCs w:val="16"/>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85"/>
              </w:rPr>
              <w:t>2</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85"/>
        </w:trPr>
        <w:tc>
          <w:tcPr>
            <w:tcW w:w="160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5"/>
              </w:rPr>
              <w:t>PROSPECTUS SUMMARY</w:t>
            </w:r>
          </w:p>
        </w:tc>
        <w:tc>
          <w:tcPr>
            <w:tcW w:w="3520" w:type="dxa"/>
            <w:vAlign w:val="bottom"/>
            <w:gridSpan w:val="3"/>
          </w:tcPr>
          <w:p>
            <w:pPr>
              <w:spacing w:after="0"/>
              <w:rPr>
                <w:sz w:val="16"/>
                <w:szCs w:val="16"/>
                <w:color w:val="auto"/>
              </w:rPr>
            </w:pPr>
          </w:p>
        </w:tc>
        <w:tc>
          <w:tcPr>
            <w:tcW w:w="5780" w:type="dxa"/>
            <w:vAlign w:val="bottom"/>
          </w:tcPr>
          <w:p>
            <w:pPr>
              <w:spacing w:after="0"/>
              <w:rPr>
                <w:sz w:val="16"/>
                <w:szCs w:val="16"/>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85"/>
              </w:rPr>
              <w:t>4</w:t>
            </w:r>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85"/>
        </w:trPr>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0000EE"/>
                <w:w w:val="89"/>
              </w:rPr>
              <w:t>THE COMPANY</w:t>
            </w:r>
          </w:p>
        </w:tc>
        <w:tc>
          <w:tcPr>
            <w:tcW w:w="660" w:type="dxa"/>
            <w:vAlign w:val="bottom"/>
            <w:gridSpan w:val="3"/>
          </w:tcPr>
          <w:p>
            <w:pPr>
              <w:spacing w:after="0"/>
              <w:rPr>
                <w:sz w:val="16"/>
                <w:szCs w:val="16"/>
                <w:color w:val="auto"/>
              </w:rPr>
            </w:pPr>
          </w:p>
        </w:tc>
        <w:tc>
          <w:tcPr>
            <w:tcW w:w="9300" w:type="dxa"/>
            <w:vAlign w:val="bottom"/>
            <w:gridSpan w:val="4"/>
          </w:tcPr>
          <w:p>
            <w:pPr>
              <w:spacing w:after="0"/>
              <w:rPr>
                <w:sz w:val="16"/>
                <w:szCs w:val="16"/>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85"/>
              </w:rPr>
              <w:t>4</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85"/>
        </w:trPr>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0"/>
              </w:rPr>
              <w:t>THE OFFERING</w:t>
            </w:r>
          </w:p>
        </w:tc>
        <w:tc>
          <w:tcPr>
            <w:tcW w:w="9960" w:type="dxa"/>
            <w:vAlign w:val="bottom"/>
            <w:gridSpan w:val="7"/>
          </w:tcPr>
          <w:p>
            <w:pPr>
              <w:spacing w:after="0"/>
              <w:rPr>
                <w:sz w:val="16"/>
                <w:szCs w:val="16"/>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85"/>
              </w:rPr>
              <w:t>5</w:t>
            </w:r>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85"/>
        </w:trPr>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0000EE"/>
                <w:w w:val="91"/>
              </w:rPr>
              <w:t>RISK FACTORS</w:t>
            </w:r>
          </w:p>
        </w:tc>
        <w:tc>
          <w:tcPr>
            <w:tcW w:w="9960" w:type="dxa"/>
            <w:vAlign w:val="bottom"/>
            <w:gridSpan w:val="7"/>
          </w:tcPr>
          <w:p>
            <w:pPr>
              <w:spacing w:after="0"/>
              <w:rPr>
                <w:sz w:val="16"/>
                <w:szCs w:val="16"/>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85"/>
              </w:rPr>
              <w:t>7</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85"/>
        </w:trPr>
        <w:tc>
          <w:tcPr>
            <w:tcW w:w="4400" w:type="dxa"/>
            <w:vAlign w:val="bottom"/>
            <w:gridSpan w:val="8"/>
          </w:tcPr>
          <w:p>
            <w:pPr>
              <w:spacing w:after="0"/>
              <w:rPr>
                <w:sz w:val="20"/>
                <w:szCs w:val="20"/>
                <w:color w:val="auto"/>
              </w:rPr>
            </w:pPr>
            <w:r>
              <w:rPr>
                <w:rFonts w:ascii="Times New Roman" w:cs="Times New Roman" w:eastAsia="Times New Roman" w:hAnsi="Times New Roman"/>
                <w:sz w:val="14"/>
                <w:szCs w:val="14"/>
                <w:color w:val="0000EE"/>
                <w:w w:val="96"/>
              </w:rPr>
              <w:t>CAUTIONARY NOTE REGARDING FORWARD-LOOKING STATEMENTS</w:t>
            </w:r>
          </w:p>
        </w:tc>
        <w:tc>
          <w:tcPr>
            <w:tcW w:w="6500" w:type="dxa"/>
            <w:vAlign w:val="bottom"/>
            <w:gridSpan w:val="2"/>
          </w:tcPr>
          <w:p>
            <w:pPr>
              <w:spacing w:after="0"/>
              <w:rPr>
                <w:sz w:val="16"/>
                <w:szCs w:val="16"/>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85"/>
              </w:rPr>
              <w:t>9</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85"/>
        </w:trPr>
        <w:tc>
          <w:tcPr>
            <w:tcW w:w="12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5"/>
              </w:rPr>
              <w:t>USE OF PROCEEDS</w:t>
            </w:r>
          </w:p>
        </w:tc>
        <w:tc>
          <w:tcPr>
            <w:tcW w:w="3200" w:type="dxa"/>
            <w:vAlign w:val="bottom"/>
            <w:gridSpan w:val="3"/>
          </w:tcPr>
          <w:p>
            <w:pPr>
              <w:spacing w:after="0"/>
              <w:rPr>
                <w:sz w:val="16"/>
                <w:szCs w:val="16"/>
                <w:color w:val="auto"/>
              </w:rPr>
            </w:pPr>
          </w:p>
        </w:tc>
        <w:tc>
          <w:tcPr>
            <w:tcW w:w="6500" w:type="dxa"/>
            <w:vAlign w:val="bottom"/>
            <w:gridSpan w:val="2"/>
          </w:tcPr>
          <w:p>
            <w:pPr>
              <w:spacing w:after="0"/>
              <w:rPr>
                <w:sz w:val="16"/>
                <w:szCs w:val="16"/>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71"/>
              </w:rPr>
              <w:t>11</w:t>
            </w:r>
          </w:p>
        </w:tc>
      </w:tr>
      <w:tr>
        <w:trPr>
          <w:trHeight w:val="185"/>
        </w:trPr>
        <w:tc>
          <w:tcPr>
            <w:tcW w:w="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5"/>
              </w:rPr>
              <w:t>DILUTION</w:t>
            </w:r>
          </w:p>
        </w:tc>
        <w:tc>
          <w:tcPr>
            <w:tcW w:w="10240" w:type="dxa"/>
            <w:vAlign w:val="bottom"/>
            <w:gridSpan w:val="8"/>
          </w:tcPr>
          <w:p>
            <w:pPr>
              <w:spacing w:after="0"/>
              <w:rPr>
                <w:sz w:val="16"/>
                <w:szCs w:val="16"/>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71"/>
              </w:rPr>
              <w:t>12</w:t>
            </w:r>
          </w:p>
        </w:tc>
      </w:tr>
      <w:tr>
        <w:trPr>
          <w:trHeight w:val="185"/>
        </w:trPr>
        <w:tc>
          <w:tcPr>
            <w:tcW w:w="16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w w:val="97"/>
              </w:rPr>
              <w:t>PLAN OF DISTRIBUTION</w:t>
            </w:r>
          </w:p>
        </w:tc>
        <w:tc>
          <w:tcPr>
            <w:tcW w:w="9300" w:type="dxa"/>
            <w:vAlign w:val="bottom"/>
            <w:gridSpan w:val="4"/>
          </w:tcPr>
          <w:p>
            <w:pPr>
              <w:spacing w:after="0"/>
              <w:rPr>
                <w:sz w:val="16"/>
                <w:szCs w:val="16"/>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71"/>
              </w:rPr>
              <w:t>14</w:t>
            </w:r>
          </w:p>
        </w:tc>
      </w:tr>
      <w:tr>
        <w:trPr>
          <w:trHeight w:val="185"/>
        </w:trPr>
        <w:tc>
          <w:tcPr>
            <w:tcW w:w="1090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rPr>
              <w:t>LEGAL MATTERS</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16</w:t>
            </w:r>
          </w:p>
        </w:tc>
      </w:tr>
      <w:tr>
        <w:trPr>
          <w:trHeight w:val="185"/>
        </w:trPr>
        <w:tc>
          <w:tcPr>
            <w:tcW w:w="11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FF"/>
              </w:rPr>
              <w:t>EXPERTS</w:t>
            </w:r>
          </w:p>
        </w:tc>
        <w:tc>
          <w:tcPr>
            <w:tcW w:w="9800" w:type="dxa"/>
            <w:vAlign w:val="bottom"/>
            <w:gridSpan w:val="6"/>
          </w:tcPr>
          <w:p>
            <w:pPr>
              <w:spacing w:after="0"/>
              <w:rPr>
                <w:sz w:val="16"/>
                <w:szCs w:val="16"/>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71"/>
              </w:rPr>
              <w:t>16</w:t>
            </w:r>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78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bl>
    <w:p>
      <w:pPr>
        <w:sectPr>
          <w:pgSz w:w="11900" w:h="16838" w:orient="portrait"/>
          <w:cols w:equalWidth="0" w:num="1">
            <w:col w:w="11000"/>
          </w:cols>
          <w:pgMar w:left="280" w:top="1108" w:right="61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1" w:lineRule="exact"/>
        <w:rPr>
          <w:sz w:val="20"/>
          <w:szCs w:val="20"/>
          <w:color w:val="auto"/>
        </w:rPr>
      </w:pPr>
    </w:p>
    <w:p>
      <w:pPr>
        <w:ind w:right="40" w:firstLine="335"/>
        <w:spacing w:after="0" w:line="252"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on Form S-3 with the U.S. Securities and Exchange Commission (the “SEC”), using a “shelf” registration process. By using a shelf registration statement, we may sell an unspecified amount of securities from time to time. Under this prospectus, we may offer and sell our ordinary shares having an aggregate offering price of up to $200 million from time to time, through Jefferies acting as our agent, at prices and on terms to be determined by market conditions at the time of the offering. The $200 million of our ordinary shares that may be sold under this prospectus are included in the $500 million of our securities that may be sold under the registration statement.</w:t>
      </w:r>
    </w:p>
    <w:p>
      <w:pPr>
        <w:spacing w:after="0" w:line="145" w:lineRule="exact"/>
        <w:rPr>
          <w:sz w:val="20"/>
          <w:szCs w:val="20"/>
          <w:color w:val="auto"/>
        </w:rPr>
      </w:pPr>
    </w:p>
    <w:p>
      <w:pPr>
        <w:ind w:firstLine="335"/>
        <w:spacing w:after="0" w:line="255" w:lineRule="auto"/>
        <w:rPr>
          <w:sz w:val="20"/>
          <w:szCs w:val="20"/>
          <w:color w:val="auto"/>
        </w:rPr>
      </w:pPr>
      <w:r>
        <w:rPr>
          <w:rFonts w:ascii="Times New Roman" w:cs="Times New Roman" w:eastAsia="Times New Roman" w:hAnsi="Times New Roman"/>
          <w:sz w:val="14"/>
          <w:szCs w:val="14"/>
          <w:color w:val="auto"/>
        </w:rPr>
        <w:t>This prospectus relates to the offering of our ordinary shares. Before buying any of the ordinary shares that we are offering, we urge you to carefully read this prospectus, together with the information incorporated by reference as described under the heading “Where You Can Find More Information; Incorporation by Reference.” These documents contain important information that you should consider when making your investment decision.</w:t>
      </w:r>
    </w:p>
    <w:p>
      <w:pPr>
        <w:spacing w:after="0" w:line="143" w:lineRule="exact"/>
        <w:rPr>
          <w:sz w:val="20"/>
          <w:szCs w:val="20"/>
          <w:color w:val="auto"/>
        </w:rPr>
      </w:pPr>
    </w:p>
    <w:p>
      <w:pPr>
        <w:jc w:val="both"/>
        <w:ind w:right="60" w:firstLine="335"/>
        <w:spacing w:after="0" w:line="252" w:lineRule="auto"/>
        <w:rPr>
          <w:sz w:val="20"/>
          <w:szCs w:val="20"/>
          <w:color w:val="auto"/>
        </w:rPr>
      </w:pPr>
      <w:r>
        <w:rPr>
          <w:rFonts w:ascii="Times New Roman" w:cs="Times New Roman" w:eastAsia="Times New Roman" w:hAnsi="Times New Roman"/>
          <w:sz w:val="14"/>
          <w:szCs w:val="14"/>
          <w:color w:val="auto"/>
        </w:rPr>
        <w:t>This prospectus describes the specific details regarding this offering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 this prospectus, on the other hand, you should rely on the information in this prospectus. If any statement in one of these documents is inconsistent with a statement in another document having a later date-for example, a document incorporated by reference into this prospectus-the statement in the document having the later date modifies or supersedes the earlier statement.</w:t>
      </w:r>
    </w:p>
    <w:p>
      <w:pPr>
        <w:spacing w:after="0" w:line="145" w:lineRule="exact"/>
        <w:rPr>
          <w:sz w:val="20"/>
          <w:szCs w:val="20"/>
          <w:color w:val="auto"/>
        </w:rPr>
      </w:pPr>
    </w:p>
    <w:p>
      <w:pPr>
        <w:ind w:firstLine="335"/>
        <w:spacing w:after="0" w:line="247" w:lineRule="auto"/>
        <w:rPr>
          <w:sz w:val="20"/>
          <w:szCs w:val="20"/>
          <w:color w:val="auto"/>
        </w:rPr>
      </w:pPr>
      <w:r>
        <w:rPr>
          <w:rFonts w:ascii="Times New Roman" w:cs="Times New Roman" w:eastAsia="Times New Roman" w:hAnsi="Times New Roman"/>
          <w:sz w:val="14"/>
          <w:szCs w:val="14"/>
          <w:color w:val="auto"/>
        </w:rPr>
        <w:t>We have not, and Jefferies has not, authorized anyone to provide any information other than that contained in or incorporated by reference in this prospectus, any applicable prospectus supplement and any free writing prospectus prepared by or on behalf of us or to which we have referred you. We and Jefferies take no responsibility for, and can provide no assurance as to the reliability of, any other information that others may give you. We are not, and Jefferies is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any applicable prospectus supplement, the documents incorporated by reference herein or therein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into this prospectus, any applicable prospectus supplement and any free writing prospectus that we may authorize for use in connection with this offering, in their entirety before making an investment decision.</w:t>
      </w:r>
    </w:p>
    <w:p>
      <w:pPr>
        <w:spacing w:after="0" w:line="152" w:lineRule="exact"/>
        <w:rPr>
          <w:sz w:val="20"/>
          <w:szCs w:val="20"/>
          <w:color w:val="auto"/>
        </w:rPr>
      </w:pPr>
    </w:p>
    <w:p>
      <w:pPr>
        <w:ind w:right="160" w:firstLine="335"/>
        <w:spacing w:after="0" w:line="266" w:lineRule="auto"/>
        <w:rPr>
          <w:sz w:val="20"/>
          <w:szCs w:val="20"/>
          <w:color w:val="auto"/>
        </w:rPr>
      </w:pPr>
      <w:r>
        <w:rPr>
          <w:rFonts w:ascii="Times New Roman" w:cs="Times New Roman" w:eastAsia="Times New Roman" w:hAnsi="Times New Roman"/>
          <w:sz w:val="14"/>
          <w:szCs w:val="14"/>
          <w:color w:val="auto"/>
        </w:rPr>
        <w:t>When we refer to “Crescent,” “we,” “our,” “us” and the “Company” in this prospectus, we mean Crescent Biopharma, Inc. and our subsidiaries, unless otherwise specified. When we refer to “you,” we mean the holders of the applicable series of securities.</w:t>
      </w:r>
    </w:p>
    <w:p>
      <w:pPr>
        <w:spacing w:after="0" w:line="136" w:lineRule="exact"/>
        <w:rPr>
          <w:sz w:val="20"/>
          <w:szCs w:val="20"/>
          <w:color w:val="auto"/>
        </w:rPr>
      </w:pPr>
    </w:p>
    <w:p>
      <w:pPr>
        <w:jc w:val="both"/>
        <w:ind w:right="80" w:firstLine="335"/>
        <w:spacing w:after="0" w:line="255" w:lineRule="auto"/>
        <w:rPr>
          <w:sz w:val="20"/>
          <w:szCs w:val="20"/>
          <w:color w:val="auto"/>
        </w:rPr>
      </w:pPr>
      <w:r>
        <w:rPr>
          <w:rFonts w:ascii="Times New Roman" w:cs="Times New Roman" w:eastAsia="Times New Roman" w:hAnsi="Times New Roman"/>
          <w:sz w:val="14"/>
          <w:szCs w:val="14"/>
          <w:color w:val="auto"/>
        </w:rPr>
        <w:t xml:space="preserve">We use our trademarks and service marks in this prospectus, as well as trademarks, tradenames and service marks that are the property of other organizations. Solely for convenience, trademarks and tradenames referred to in this prospectus appear without the </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0"/>
          <w:szCs w:val="10"/>
          <w:color w:val="auto"/>
        </w:rPr>
        <w:t>™</w:t>
      </w:r>
      <w:r>
        <w:rPr>
          <w:rFonts w:ascii="Times New Roman" w:cs="Times New Roman" w:eastAsia="Times New Roman" w:hAnsi="Times New Roman"/>
          <w:sz w:val="14"/>
          <w:szCs w:val="14"/>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60"/>
          </w:cols>
          <w:pgMar w:left="300" w:top="1108"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 INCORPORATION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89" w:lineRule="exact"/>
        <w:rPr>
          <w:sz w:val="20"/>
          <w:szCs w:val="20"/>
          <w:color w:val="auto"/>
        </w:rPr>
      </w:pPr>
    </w:p>
    <w:p>
      <w:pPr>
        <w:ind w:right="120" w:firstLine="335"/>
        <w:spacing w:after="0" w:line="266" w:lineRule="auto"/>
        <w:rPr>
          <w:sz w:val="20"/>
          <w:szCs w:val="20"/>
          <w:color w:val="auto"/>
        </w:rPr>
      </w:pPr>
      <w:r>
        <w:rPr>
          <w:rFonts w:ascii="Times New Roman" w:cs="Times New Roman" w:eastAsia="Times New Roman" w:hAnsi="Times New Roman"/>
          <w:sz w:val="14"/>
          <w:szCs w:val="14"/>
          <w:color w:val="auto"/>
        </w:rPr>
        <w:t>We file reports, proxy statements and other information with the SEC. The SEC maintains a website that contains reports, proxy and information statements and other information about issuers, such as us, who file electronically with the SEC. The address of that website is http://www.sec.gov.</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Our website address is www.crescentbiopharma.com. The information on our website, however, is not, and should not be deemed to be, a part of this prospectus.</w:t>
      </w:r>
    </w:p>
    <w:p>
      <w:pPr>
        <w:spacing w:after="0" w:line="167" w:lineRule="exact"/>
        <w:rPr>
          <w:sz w:val="20"/>
          <w:szCs w:val="20"/>
          <w:color w:val="auto"/>
        </w:rPr>
      </w:pPr>
    </w:p>
    <w:p>
      <w:pPr>
        <w:ind w:firstLine="335"/>
        <w:spacing w:after="0" w:line="252"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 and does not contain all of the information in the registration statement. The full registration statement may be obtained from the SEC or us, as provided below. Contracts and agreements are or may be filed as exhibits to the registration statement or documents incorporated by reference in the registration statement. Statements in this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89" w:lineRule="exact"/>
        <w:rPr>
          <w:sz w:val="20"/>
          <w:szCs w:val="20"/>
          <w:color w:val="auto"/>
        </w:rPr>
      </w:pPr>
    </w:p>
    <w:p>
      <w:pPr>
        <w:ind w:right="200" w:firstLine="335"/>
        <w:spacing w:after="0" w:line="252" w:lineRule="auto"/>
        <w:rPr>
          <w:sz w:val="20"/>
          <w:szCs w:val="20"/>
          <w:color w:val="auto"/>
        </w:rPr>
      </w:pPr>
      <w:r>
        <w:rPr>
          <w:rFonts w:ascii="Times New Roman" w:cs="Times New Roman" w:eastAsia="Times New Roman" w:hAnsi="Times New Roman"/>
          <w:sz w:val="14"/>
          <w:szCs w:val="14"/>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45" w:lineRule="exact"/>
        <w:rPr>
          <w:sz w:val="20"/>
          <w:szCs w:val="20"/>
          <w:color w:val="auto"/>
        </w:rPr>
      </w:pPr>
    </w:p>
    <w:p>
      <w:pPr>
        <w:jc w:val="both"/>
        <w:ind w:right="80" w:firstLine="335"/>
        <w:spacing w:after="0" w:line="255" w:lineRule="auto"/>
        <w:rPr>
          <w:sz w:val="20"/>
          <w:szCs w:val="20"/>
          <w:color w:val="auto"/>
        </w:rPr>
      </w:pPr>
      <w:r>
        <w:rPr>
          <w:rFonts w:ascii="Times New Roman" w:cs="Times New Roman" w:eastAsia="Times New Roman" w:hAnsi="Times New Roman"/>
          <w:sz w:val="14"/>
          <w:szCs w:val="14"/>
          <w:color w:val="auto"/>
        </w:rPr>
        <w:t>This prospectus incorporates by reference the documents set forth below that have previously been filed with the SEC (except for information in these documents or filings that is deemed “furnished” and not “filed” in accordance with the SEC rules, including pursuant to Item 2.02 or 7.01 of Form 8-K, or corresponding information furnished under Item 9.01 as an exhibit, and no such information shall be deemed specifically incorporated by reference herein or in any accompanying prospectus supplement):</w:t>
      </w:r>
    </w:p>
    <w:p>
      <w:pPr>
        <w:spacing w:after="0" w:line="174" w:lineRule="exact"/>
        <w:rPr>
          <w:sz w:val="20"/>
          <w:szCs w:val="20"/>
          <w:color w:val="auto"/>
        </w:rPr>
      </w:pPr>
    </w:p>
    <w:p>
      <w:pPr>
        <w:ind w:left="280" w:hanging="193"/>
        <w:spacing w:after="0"/>
        <w:tabs>
          <w:tab w:leader="none" w:pos="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10">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February 26, 2026;</w:t>
      </w:r>
    </w:p>
    <w:p>
      <w:pPr>
        <w:spacing w:after="0" w:line="269" w:lineRule="exact"/>
        <w:rPr>
          <w:rFonts w:ascii="Times New Roman" w:cs="Times New Roman" w:eastAsia="Times New Roman" w:hAnsi="Times New Roman"/>
          <w:sz w:val="14"/>
          <w:szCs w:val="14"/>
          <w:color w:val="auto"/>
        </w:rPr>
      </w:pPr>
    </w:p>
    <w:p>
      <w:pPr>
        <w:ind w:left="280" w:right="20" w:hanging="193"/>
        <w:spacing w:after="0" w:line="230" w:lineRule="auto"/>
        <w:tabs>
          <w:tab w:leader="none" w:pos="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11">
        <w:r>
          <w:rPr>
            <w:rFonts w:ascii="Times New Roman" w:cs="Times New Roman" w:eastAsia="Times New Roman" w:hAnsi="Times New Roman"/>
            <w:sz w:val="14"/>
            <w:szCs w:val="14"/>
            <w:u w:val="single" w:color="auto"/>
            <w:color w:val="0000FF"/>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quarter ended March 31, 2026, filed with the SEC on April 29, 2026, as amended by </w:t>
      </w:r>
      <w:hyperlink r:id="rId12">
        <w:r>
          <w:rPr>
            <w:rFonts w:ascii="Times New Roman" w:cs="Times New Roman" w:eastAsia="Times New Roman" w:hAnsi="Times New Roman"/>
            <w:sz w:val="14"/>
            <w:szCs w:val="14"/>
            <w:u w:val="single" w:color="auto"/>
            <w:color w:val="0000FF"/>
          </w:rPr>
          <w:t>Amendment No. 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Quarterly Report on Form 10-Q, filed with the SEC on June 22, 2026;</w:t>
      </w:r>
    </w:p>
    <w:p>
      <w:pPr>
        <w:spacing w:after="0" w:line="255" w:lineRule="exact"/>
        <w:rPr>
          <w:rFonts w:ascii="Times New Roman" w:cs="Times New Roman" w:eastAsia="Times New Roman" w:hAnsi="Times New Roman"/>
          <w:sz w:val="14"/>
          <w:szCs w:val="14"/>
          <w:color w:val="auto"/>
        </w:rPr>
      </w:pPr>
    </w:p>
    <w:p>
      <w:pPr>
        <w:ind w:left="280" w:hanging="193"/>
        <w:spacing w:after="0"/>
        <w:tabs>
          <w:tab w:leader="none" w:pos="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Form 10-K from our Definitive Proxy Statement on </w:t>
      </w:r>
      <w:hyperlink r:id="rId13">
        <w:r>
          <w:rPr>
            <w:rFonts w:ascii="Times New Roman" w:cs="Times New Roman" w:eastAsia="Times New Roman" w:hAnsi="Times New Roman"/>
            <w:sz w:val="14"/>
            <w:szCs w:val="14"/>
            <w:u w:val="single" w:color="auto"/>
            <w:color w:val="0000EE"/>
          </w:rPr>
          <w:t>Schedule 14A</w:t>
        </w:r>
      </w:hyperlink>
      <w:r>
        <w:rPr>
          <w:rFonts w:ascii="Times New Roman" w:cs="Times New Roman" w:eastAsia="Times New Roman" w:hAnsi="Times New Roman"/>
          <w:sz w:val="14"/>
          <w:szCs w:val="14"/>
          <w:color w:val="auto"/>
        </w:rPr>
        <w:t>, filed with the SEC on April 21, 2026;</w:t>
      </w:r>
    </w:p>
    <w:p>
      <w:pPr>
        <w:spacing w:after="0" w:line="269" w:lineRule="exact"/>
        <w:rPr>
          <w:rFonts w:ascii="Times New Roman" w:cs="Times New Roman" w:eastAsia="Times New Roman" w:hAnsi="Times New Roman"/>
          <w:sz w:val="14"/>
          <w:szCs w:val="14"/>
          <w:color w:val="auto"/>
        </w:rPr>
      </w:pPr>
    </w:p>
    <w:p>
      <w:pPr>
        <w:ind w:left="360" w:hanging="252"/>
        <w:spacing w:after="0"/>
        <w:tabs>
          <w:tab w:leader="none" w:pos="36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 on </w:t>
      </w:r>
      <w:hyperlink r:id="rId14">
        <w:r>
          <w:rPr>
            <w:rFonts w:ascii="Times New Roman" w:cs="Times New Roman" w:eastAsia="Times New Roman" w:hAnsi="Times New Roman"/>
            <w:sz w:val="14"/>
            <w:szCs w:val="14"/>
            <w:u w:val="single" w:color="auto"/>
            <w:color w:val="0000FF"/>
          </w:rPr>
          <w:t>Form 8-K</w:t>
        </w:r>
      </w:hyperlink>
      <w:r>
        <w:rPr>
          <w:rFonts w:ascii="Times New Roman" w:cs="Times New Roman" w:eastAsia="Times New Roman" w:hAnsi="Times New Roman"/>
          <w:sz w:val="14"/>
          <w:szCs w:val="14"/>
          <w:color w:val="auto"/>
        </w:rPr>
        <w:t>, filed with the SEC on June 3, 2026; and</w:t>
      </w:r>
    </w:p>
    <w:p>
      <w:pPr>
        <w:spacing w:after="0" w:line="269" w:lineRule="exact"/>
        <w:rPr>
          <w:rFonts w:ascii="Times New Roman" w:cs="Times New Roman" w:eastAsia="Times New Roman" w:hAnsi="Times New Roman"/>
          <w:sz w:val="14"/>
          <w:szCs w:val="14"/>
          <w:color w:val="auto"/>
        </w:rPr>
      </w:pPr>
    </w:p>
    <w:p>
      <w:pPr>
        <w:ind w:left="280" w:right="280" w:hanging="193"/>
        <w:spacing w:after="0" w:line="230" w:lineRule="auto"/>
        <w:tabs>
          <w:tab w:leader="none" w:pos="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securities contained in our registration statement on </w:t>
      </w:r>
      <w:hyperlink r:id="rId15">
        <w:r>
          <w:rPr>
            <w:rFonts w:ascii="Times New Roman" w:cs="Times New Roman" w:eastAsia="Times New Roman" w:hAnsi="Times New Roman"/>
            <w:sz w:val="14"/>
            <w:szCs w:val="14"/>
            <w:u w:val="single" w:color="auto"/>
            <w:color w:val="0000FF"/>
          </w:rPr>
          <w:t>Form 8-A12B/A</w:t>
        </w:r>
      </w:hyperlink>
      <w:r>
        <w:rPr>
          <w:rFonts w:ascii="Times New Roman" w:cs="Times New Roman" w:eastAsia="Times New Roman" w:hAnsi="Times New Roman"/>
          <w:sz w:val="14"/>
          <w:szCs w:val="14"/>
          <w:color w:val="auto"/>
        </w:rPr>
        <w:t xml:space="preserve">, filed with the SEC on November 6, 2025, including any amendment or report filed with the SEC for the purpose of updating the description, including </w:t>
      </w:r>
      <w:hyperlink r:id="rId16">
        <w:r>
          <w:rPr>
            <w:rFonts w:ascii="Times New Roman" w:cs="Times New Roman" w:eastAsia="Times New Roman" w:hAnsi="Times New Roman"/>
            <w:sz w:val="14"/>
            <w:szCs w:val="14"/>
            <w:u w:val="single" w:color="auto"/>
            <w:color w:val="0000FF"/>
          </w:rPr>
          <w:t>Exhibit 4.3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2025, filed with the SEC on February 26, 2026.</w:t>
      </w:r>
    </w:p>
    <w:p>
      <w:pPr>
        <w:spacing w:after="0" w:line="143" w:lineRule="exact"/>
        <w:rPr>
          <w:rFonts w:ascii="Times New Roman" w:cs="Times New Roman" w:eastAsia="Times New Roman" w:hAnsi="Times New Roman"/>
          <w:sz w:val="14"/>
          <w:szCs w:val="14"/>
          <w:color w:val="auto"/>
        </w:rPr>
      </w:pPr>
    </w:p>
    <w:p>
      <w:pPr>
        <w:ind w:right="120" w:firstLine="335"/>
        <w:spacing w:after="0" w:line="266" w:lineRule="auto"/>
        <w:rPr>
          <w:sz w:val="20"/>
          <w:szCs w:val="20"/>
          <w:color w:val="auto"/>
        </w:rPr>
      </w:pPr>
      <w:r>
        <w:rPr>
          <w:rFonts w:ascii="Times New Roman" w:cs="Times New Roman" w:eastAsia="Times New Roman" w:hAnsi="Times New Roman"/>
          <w:sz w:val="14"/>
          <w:szCs w:val="14"/>
          <w:color w:val="auto"/>
        </w:rPr>
        <w:t>All reports and other documents we subsequently file pursuant to Section 13(a), 13(c), 14 or 15(d) of the Exchange Act prior to the termination of this offering, including all such documents we may file with the SEC after</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13"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107" w:right="319" w:bottom="1440" w:gutter="0" w:footer="0" w:header="0"/>
        </w:sectPr>
      </w:pPr>
    </w:p>
    <w:bookmarkStart w:id="38" w:name="page39"/>
    <w:bookmarkEnd w:id="38"/>
    <w:p>
      <w:pPr>
        <w:spacing w:after="0" w:line="266" w:lineRule="auto"/>
        <w:rPr>
          <w:sz w:val="20"/>
          <w:szCs w:val="20"/>
          <w:color w:val="auto"/>
        </w:rPr>
      </w:pPr>
      <w:r>
        <w:rPr>
          <w:rFonts w:ascii="Times New Roman" w:cs="Times New Roman" w:eastAsia="Times New Roman" w:hAnsi="Times New Roman"/>
          <w:sz w:val="14"/>
          <w:szCs w:val="14"/>
          <w:color w:val="auto"/>
        </w:rPr>
        <w:t>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36" w:lineRule="exact"/>
        <w:rPr>
          <w:sz w:val="20"/>
          <w:szCs w:val="20"/>
          <w:color w:val="auto"/>
        </w:rPr>
      </w:pPr>
    </w:p>
    <w:p>
      <w:pPr>
        <w:ind w:right="340" w:firstLine="335"/>
        <w:spacing w:after="0" w:line="266" w:lineRule="auto"/>
        <w:rPr>
          <w:sz w:val="20"/>
          <w:szCs w:val="20"/>
          <w:color w:val="auto"/>
        </w:rPr>
      </w:pPr>
      <w:r>
        <w:rPr>
          <w:rFonts w:ascii="Times New Roman" w:cs="Times New Roman" w:eastAsia="Times New Roman" w:hAnsi="Times New Roman"/>
          <w:sz w:val="14"/>
          <w:szCs w:val="14"/>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3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Crescent Biopharma, Inc.</w:t>
      </w:r>
    </w:p>
    <w:p>
      <w:pPr>
        <w:spacing w:after="0" w:line="1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300 Fifth Avenue</w:t>
      </w:r>
    </w:p>
    <w:p>
      <w:pPr>
        <w:spacing w:after="0" w:line="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Waltham, MA 02451</w:t>
      </w:r>
    </w:p>
    <w:p>
      <w:pPr>
        <w:spacing w:after="0" w:line="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color w:val="auto"/>
        </w:rPr>
        <w:t>(617) 430-5595</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194" w:right="31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67" w:lineRule="exact"/>
        <w:rPr>
          <w:sz w:val="20"/>
          <w:szCs w:val="20"/>
          <w:color w:val="auto"/>
        </w:rPr>
      </w:pPr>
    </w:p>
    <w:p>
      <w:pPr>
        <w:ind w:right="160" w:firstLine="335"/>
        <w:spacing w:after="0" w:line="287" w:lineRule="auto"/>
        <w:rPr>
          <w:sz w:val="20"/>
          <w:szCs w:val="20"/>
          <w:color w:val="auto"/>
        </w:rPr>
      </w:pPr>
      <w:r>
        <w:rPr>
          <w:rFonts w:ascii="Times New Roman" w:cs="Times New Roman" w:eastAsia="Times New Roman" w:hAnsi="Times New Roman"/>
          <w:sz w:val="13"/>
          <w:szCs w:val="13"/>
          <w:i w:val="1"/>
          <w:iCs w:val="1"/>
          <w:color w:val="auto"/>
        </w:rPr>
        <w:t>This summary highlights selected information contained elsewhere in this prospectus and in the documents we incorporate by reference. This summary does not contain all of the information you should consider before making an investment decision. You should read this entire prospectus carefully, especially the risks of investing in our ordinary shares discussed under the heading “Risk Factors” beginning on page 7 of this prospectus, along with our financial statements and notes to those financial statements and the other information incorporated by reference in this prospectus.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89" w:lineRule="exact"/>
        <w:rPr>
          <w:sz w:val="20"/>
          <w:szCs w:val="20"/>
          <w:color w:val="auto"/>
        </w:rPr>
      </w:pPr>
    </w:p>
    <w:p>
      <w:pPr>
        <w:ind w:firstLine="335"/>
        <w:spacing w:after="0" w:line="249" w:lineRule="auto"/>
        <w:rPr>
          <w:sz w:val="20"/>
          <w:szCs w:val="20"/>
          <w:color w:val="auto"/>
        </w:rPr>
      </w:pPr>
      <w:r>
        <w:rPr>
          <w:rFonts w:ascii="Times New Roman" w:cs="Times New Roman" w:eastAsia="Times New Roman" w:hAnsi="Times New Roman"/>
          <w:sz w:val="14"/>
          <w:szCs w:val="14"/>
          <w:color w:val="auto"/>
        </w:rPr>
        <w:t>We are a clinical-stage biotechnology company focused on delivering the next wave of transformative therapies to bring a brighter future for people living with cancer. We have a bold vision to build the next leading biotechnology oncology company. We are executing across two distinct strategies to build our portfolio to achieve this vision. First, we are developing our lead product candidate, CR-001, which we refer to as a PD-1 x VEGF bispecific antibody because it is designed to bind both the PD-1 immune checkpoint and Vascular Endothelial Growth Factor, which has potential to replace pembrolizumab, marketed by Merck as Keytruda®, as the foundational immuno-oncology backbone; second, we are building a robust portfolio of potentially best-in-class antibody drug conjugates (“ADCs”). Importantly, as we execute on these two strategies, we intend to combine CR-001 and ADC therapies to create what we believe will be best-in-class synergistic combinations to transform care for multiple types of cancer.</w:t>
      </w:r>
    </w:p>
    <w:p>
      <w:pPr>
        <w:spacing w:after="0" w:line="137" w:lineRule="exact"/>
        <w:rPr>
          <w:sz w:val="20"/>
          <w:szCs w:val="20"/>
          <w:color w:val="auto"/>
        </w:rPr>
      </w:pPr>
    </w:p>
    <w:p>
      <w:pPr>
        <w:jc w:val="both"/>
        <w:ind w:right="160" w:firstLine="335"/>
        <w:spacing w:after="0"/>
        <w:rPr>
          <w:sz w:val="20"/>
          <w:szCs w:val="20"/>
          <w:color w:val="auto"/>
        </w:rPr>
      </w:pPr>
      <w:r>
        <w:rPr>
          <w:rFonts w:ascii="Times New Roman" w:cs="Times New Roman" w:eastAsia="Times New Roman" w:hAnsi="Times New Roman"/>
          <w:sz w:val="14"/>
          <w:szCs w:val="14"/>
          <w:color w:val="auto"/>
        </w:rPr>
        <w:t>We initiated a global Phase 1/2 trial of CR-001 in February 2026, and a Phase 1/2 trial of CR-003 (also referred to as SKB105), an integrin beta-6 (“ITGB6”)-directed ADC, as a monotherapy in the first quarter of 2026 in China through our partner, Sichuan Kelun-Biotech Biopharmaceutical Co., Ltd. (“Kelun”). In addition, we anticipate initiation of a monotherapy clinical trial of CR-002, a PD-L1-directed ADC with a topoisomerase payload, as well as the first ADC combination trial with CR-001 and a Kelun ADC in 2026.</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89" w:lineRule="exact"/>
        <w:rPr>
          <w:sz w:val="20"/>
          <w:szCs w:val="20"/>
          <w:color w:val="auto"/>
        </w:rPr>
      </w:pPr>
    </w:p>
    <w:p>
      <w:pPr>
        <w:ind w:right="320" w:firstLine="335"/>
        <w:spacing w:after="0" w:line="255" w:lineRule="auto"/>
        <w:rPr>
          <w:sz w:val="20"/>
          <w:szCs w:val="20"/>
          <w:color w:val="auto"/>
        </w:rPr>
      </w:pPr>
      <w:r>
        <w:rPr>
          <w:rFonts w:ascii="Times New Roman" w:cs="Times New Roman" w:eastAsia="Times New Roman" w:hAnsi="Times New Roman"/>
          <w:sz w:val="14"/>
          <w:szCs w:val="14"/>
          <w:color w:val="auto"/>
        </w:rPr>
        <w:t>We were initially incorporated under the laws of the State of Delaware in 2003. Our company, formerly known as GlycoMimetics, Inc., is a biotechnology company that is the result of a reverse recapitalization transaction with a private company named Crescent Biopharma, Inc. (“Pre-Merger Crescent”). Prior to the reverse recapitalization transaction, Pre-Merger Crescent was established and incorporated under the laws of the State of Delaware on September 19, 2024. Pre-Merger Crescent was founded to research and develop cancer therapy candidates.</w:t>
      </w:r>
    </w:p>
    <w:p>
      <w:pPr>
        <w:spacing w:after="0" w:line="61" w:lineRule="exact"/>
        <w:rPr>
          <w:sz w:val="20"/>
          <w:szCs w:val="20"/>
          <w:color w:val="auto"/>
        </w:rPr>
      </w:pPr>
    </w:p>
    <w:p>
      <w:pPr>
        <w:ind w:right="20" w:firstLine="335"/>
        <w:spacing w:after="0" w:line="266" w:lineRule="auto"/>
        <w:rPr>
          <w:sz w:val="20"/>
          <w:szCs w:val="20"/>
          <w:color w:val="auto"/>
        </w:rPr>
      </w:pPr>
      <w:r>
        <w:rPr>
          <w:rFonts w:ascii="Times New Roman" w:cs="Times New Roman" w:eastAsia="Times New Roman" w:hAnsi="Times New Roman"/>
          <w:sz w:val="14"/>
          <w:szCs w:val="14"/>
          <w:color w:val="auto"/>
        </w:rPr>
        <w:t>On June 16, 2025, in connection with the reverse recapitalization transaction with Pre-Merger Crescent, we changed our jurisdiction of incorporation from the State of Delaware to the Cayman Islands pursuant to a plan of conversion.</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Our principal executive offices are located at 300 Fifth Avenue, Waltham, MA 02451, and our telephone number is (617) 430-5595.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1272" w:right="319" w:bottom="1440" w:gutter="0" w:footer="0" w:header="0"/>
        </w:sectPr>
      </w:pPr>
    </w:p>
    <w:bookmarkStart w:id="40" w:name="page41"/>
    <w:bookmarkEnd w:id="40"/>
    <w:p>
      <w:pPr>
        <w:spacing w:after="0" w:line="200" w:lineRule="exact"/>
        <w:rPr>
          <w:sz w:val="20"/>
          <w:szCs w:val="20"/>
          <w:color w:val="auto"/>
        </w:rPr>
      </w:pPr>
    </w:p>
    <w:p>
      <w:pPr>
        <w:spacing w:after="0" w:line="3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Ordinary shares offered by us</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Ordinary shares to be outstanding</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immediately after this offering</w:t>
      </w: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Plan of Distribution</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Use of Proceeds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Risk Factors</w:t>
      </w:r>
    </w:p>
    <w:p>
      <w:pPr>
        <w:spacing w:after="0" w:line="3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Nasdaq Capital Market Symbol</w:t>
      </w:r>
    </w:p>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Ordinary shares having an aggregate offering price of up to $200 million.</w:t>
      </w:r>
    </w:p>
    <w:p>
      <w:pPr>
        <w:spacing w:after="0" w:line="2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4"/>
          <w:szCs w:val="14"/>
          <w:color w:val="auto"/>
        </w:rPr>
        <w:t>Up to 11,111,111 shares, assuming sales of 11,111,111 shares of our ordinary shares in this offering at an assumed offering price of $18.00 per share, which was the last reported sale price of our ordinary shares on the Nasdaq Capital Market on June 30, 2026. The actual number of shares issued will vary depending on how many of our ordinary shares we choose to sell and the prices at which such sales occur.</w:t>
      </w:r>
    </w:p>
    <w:p>
      <w:pPr>
        <w:spacing w:after="0" w:line="11"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4"/>
          <w:szCs w:val="14"/>
          <w:color w:val="auto"/>
        </w:rPr>
        <w:t>“At the market offering” that may be made from time to time through our sales agent, Jefferies. See the section entitled “Plan of Distribution” on page 14 of this prospectus.</w:t>
      </w:r>
    </w:p>
    <w:p>
      <w:pPr>
        <w:spacing w:after="0" w:line="20"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4"/>
          <w:szCs w:val="14"/>
          <w:color w:val="auto"/>
        </w:rPr>
        <w:t>We intend to use the net proceeds of this offering for general corporate purposes, including research and development and working capital. See the section entitled “Use of Proceeds” on page 11 of this prospectus.</w:t>
      </w:r>
    </w:p>
    <w:p>
      <w:pPr>
        <w:spacing w:after="0" w:line="1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4"/>
          <w:szCs w:val="14"/>
          <w:color w:val="auto"/>
        </w:rPr>
        <w:t>See the section entitled “Risk Factors” beginning on page 7 of this prospectus and the other information included in, or incorporated by reference into, this prospectus for a discussion of certain factors you should carefully consider before deciding to invest in our ordinary shares.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“CBIO”</w:t>
      </w:r>
    </w:p>
    <w:p>
      <w:pPr>
        <w:spacing w:after="0" w:line="200" w:lineRule="exact"/>
        <w:rPr>
          <w:sz w:val="20"/>
          <w:szCs w:val="20"/>
          <w:color w:val="auto"/>
        </w:rPr>
      </w:pPr>
    </w:p>
    <w:p>
      <w:pPr>
        <w:sectPr>
          <w:pgSz w:w="11900" w:h="16838" w:orient="portrait"/>
          <w:cols w:equalWidth="0" w:num="2">
            <w:col w:w="3460" w:space="720"/>
            <w:col w:w="7080"/>
          </w:cols>
          <w:pgMar w:left="300" w:top="1272" w:right="339" w:bottom="1440" w:gutter="0" w:footer="0" w:header="0"/>
        </w:sectPr>
      </w:pPr>
    </w:p>
    <w:p>
      <w:pPr>
        <w:spacing w:after="0" w:line="224" w:lineRule="exact"/>
        <w:rPr>
          <w:sz w:val="20"/>
          <w:szCs w:val="20"/>
          <w:color w:val="auto"/>
        </w:rPr>
      </w:pPr>
    </w:p>
    <w:p>
      <w:pPr>
        <w:ind w:firstLine="335"/>
        <w:spacing w:after="0" w:line="266" w:lineRule="auto"/>
        <w:rPr>
          <w:sz w:val="20"/>
          <w:szCs w:val="20"/>
          <w:color w:val="auto"/>
        </w:rPr>
      </w:pPr>
      <w:r>
        <w:rPr>
          <w:rFonts w:ascii="Times New Roman" w:cs="Times New Roman" w:eastAsia="Times New Roman" w:hAnsi="Times New Roman"/>
          <w:sz w:val="14"/>
          <w:szCs w:val="14"/>
          <w:color w:val="auto"/>
        </w:rPr>
        <w:t>Our ordinary shares to be outstanding immediately after this offering is based on 27,571,935 ordinary shares outstanding as of March 31, 2026. The number of shares outstanding as of March 31, 2026 excludes:</w:t>
      </w:r>
    </w:p>
    <w:p>
      <w:pPr>
        <w:spacing w:after="0" w:line="146" w:lineRule="exact"/>
        <w:rPr>
          <w:sz w:val="20"/>
          <w:szCs w:val="20"/>
          <w:color w:val="auto"/>
        </w:rPr>
      </w:pPr>
    </w:p>
    <w:p>
      <w:pPr>
        <w:ind w:left="500" w:hanging="252"/>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2,890,000 ordinary shares issuable upon conversion of our Series A non-voting convertible preferred shares outstanding as of March 31, 2026;</w:t>
      </w:r>
    </w:p>
    <w:p>
      <w:pPr>
        <w:spacing w:after="0" w:line="54" w:lineRule="exact"/>
        <w:rPr>
          <w:rFonts w:ascii="Times New Roman" w:cs="Times New Roman" w:eastAsia="Times New Roman" w:hAnsi="Times New Roman"/>
          <w:sz w:val="14"/>
          <w:szCs w:val="14"/>
          <w:color w:val="auto"/>
        </w:rPr>
      </w:pPr>
    </w:p>
    <w:p>
      <w:pPr>
        <w:ind w:left="500" w:right="200" w:hanging="252"/>
        <w:spacing w:after="0" w:line="318" w:lineRule="auto"/>
        <w:tabs>
          <w:tab w:leader="none" w:pos="497"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2,898,556 ordinary shares issuable upon exercise of our pre-funded warrants outstanding as of March 31, 2026, with an exercise price of $0.001 per share (including the 131,434 ordinary shares issuable upon exercise of the pre-funded warrants issued pursuant to that certain Securities Purchase Agreement for a private placement, dated December 4, 2025 (the “Private Placement Pre-Funded Warrants”) and 1,636,706 ordinary shares issuable upon exercise of the pre-funded warrants issued to Fairmount Funds Management LLC (the “Fairmount Pre-Funded Warrants”));</w:t>
      </w:r>
    </w:p>
    <w:p>
      <w:pPr>
        <w:ind w:left="500" w:hanging="252"/>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437,297 ordinary shares issuable upon exercise of warrants outstanding as of March 31, 2026, including 402,731 warrants issued on December 31, 2025 with an exercise price of $11.86 and 34,566</w:t>
      </w:r>
    </w:p>
    <w:p>
      <w:pPr>
        <w:spacing w:after="0" w:line="45" w:lineRule="exact"/>
        <w:rPr>
          <w:rFonts w:ascii="Times New Roman" w:cs="Times New Roman" w:eastAsia="Times New Roman" w:hAnsi="Times New Roman"/>
          <w:sz w:val="13"/>
          <w:szCs w:val="13"/>
          <w:color w:val="auto"/>
        </w:rPr>
      </w:pPr>
    </w:p>
    <w:p>
      <w:pPr>
        <w:ind w:left="500" w:right="260"/>
        <w:spacing w:after="0" w:line="29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warrants issued on January 31, 2026 with an exercise price of $13.50, under the ADC Discovery and Option Agreement (as amended and restated on April 28, 2025, the “ADC Paragon Option Agreement”) with Parascent Holding LLC;</w:t>
      </w:r>
    </w:p>
    <w:p>
      <w:pPr>
        <w:spacing w:after="0" w:line="1" w:lineRule="exact"/>
        <w:rPr>
          <w:rFonts w:ascii="Times New Roman" w:cs="Times New Roman" w:eastAsia="Times New Roman" w:hAnsi="Times New Roman"/>
          <w:sz w:val="13"/>
          <w:szCs w:val="13"/>
          <w:color w:val="auto"/>
        </w:rPr>
      </w:pPr>
    </w:p>
    <w:p>
      <w:pPr>
        <w:ind w:left="500" w:right="180" w:hanging="252"/>
        <w:spacing w:after="0" w:line="305" w:lineRule="auto"/>
        <w:tabs>
          <w:tab w:leader="none" w:pos="49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1,885,194 ordinary shares issuable upon the exercise of options outstanding as of March 31, 2026 under our 2025 Stock Incentive Plan (the “2025 Plan”), at a weighted-average exercise price of $13.18 per share;</w:t>
      </w:r>
    </w:p>
    <w:p>
      <w:pPr>
        <w:spacing w:after="0" w:line="1"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278,332 ordinary shares issuable upon the vesting of restricted share units outstanding as of March 31, 2026 under our 2025 Plan;</w:t>
      </w:r>
    </w:p>
    <w:p>
      <w:pPr>
        <w:spacing w:after="0" w:line="54" w:lineRule="exact"/>
        <w:rPr>
          <w:rFonts w:ascii="Times New Roman" w:cs="Times New Roman" w:eastAsia="Times New Roman" w:hAnsi="Times New Roman"/>
          <w:sz w:val="14"/>
          <w:szCs w:val="14"/>
          <w:color w:val="auto"/>
        </w:rPr>
      </w:pPr>
    </w:p>
    <w:p>
      <w:pPr>
        <w:ind w:left="500" w:right="140" w:hanging="252"/>
        <w:spacing w:after="0" w:line="312" w:lineRule="auto"/>
        <w:tabs>
          <w:tab w:leader="none" w:pos="49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3,683,519 ordinary shares issuable upon the exercise of options outstanding as of March 31, 2026 under our 2024 Equity Incentive Plan (the “2024 Plan”), at a weighted-average exercise price of $7.90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60"/>
          </w:cols>
          <w:pgMar w:left="300" w:top="1272" w:right="339" w:bottom="1440" w:gutter="0" w:footer="0" w:header="0"/>
          <w:type w:val="continuous"/>
        </w:sectPr>
      </w:pPr>
    </w:p>
    <w:bookmarkStart w:id="41" w:name="page42"/>
    <w:bookmarkEnd w:id="41"/>
    <w:p>
      <w:pPr>
        <w:ind w:left="260" w:hanging="252"/>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328,789 ordinary shares issuable upon the vesting of restricted share units outstanding as of March 31, 2026 under our 2024 Plan;</w:t>
      </w:r>
    </w:p>
    <w:p>
      <w:pPr>
        <w:spacing w:after="0" w:line="54" w:lineRule="exact"/>
        <w:rPr>
          <w:rFonts w:ascii="Times New Roman" w:cs="Times New Roman" w:eastAsia="Times New Roman" w:hAnsi="Times New Roman"/>
          <w:sz w:val="14"/>
          <w:szCs w:val="14"/>
          <w:color w:val="auto"/>
        </w:rPr>
      </w:pPr>
    </w:p>
    <w:p>
      <w:pPr>
        <w:ind w:left="260" w:right="80" w:hanging="252"/>
        <w:spacing w:after="0" w:line="305" w:lineRule="auto"/>
        <w:tabs>
          <w:tab w:leader="none" w:pos="2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732,776 ordinary shares issuable upon the exercise of options outstanding as of March 31, 2026 under our 2025 Employment Inducement Incentive Award Plan (the “2025 Inducement Plan”), at a weighted-average exercise price of $12.39 per share;</w:t>
      </w:r>
    </w:p>
    <w:p>
      <w:pPr>
        <w:spacing w:after="0" w:line="1" w:lineRule="exact"/>
        <w:rPr>
          <w:rFonts w:ascii="Times New Roman" w:cs="Times New Roman" w:eastAsia="Times New Roman" w:hAnsi="Times New Roman"/>
          <w:sz w:val="14"/>
          <w:szCs w:val="14"/>
          <w:color w:val="auto"/>
        </w:rPr>
      </w:pPr>
    </w:p>
    <w:p>
      <w:pPr>
        <w:ind w:left="260" w:right="220" w:hanging="252"/>
        <w:spacing w:after="0" w:line="297" w:lineRule="auto"/>
        <w:tabs>
          <w:tab w:leader="none" w:pos="2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1,831,145 ordinary shares reserved for future issuance under the 2025 Plan as of March 31, 2026, as well as any automatic increase in the number of ordinary shares reserved for future issuance under our 2025 Plan;</w:t>
      </w:r>
    </w:p>
    <w:p>
      <w:pPr>
        <w:spacing w:after="0" w:line="11"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517,224 ordinary shares reserved for future issuance under the 2025 Inducement Plan as of March 31, 2026; and</w:t>
      </w:r>
    </w:p>
    <w:p>
      <w:pPr>
        <w:spacing w:after="0" w:line="54" w:lineRule="exact"/>
        <w:rPr>
          <w:rFonts w:ascii="Times New Roman" w:cs="Times New Roman" w:eastAsia="Times New Roman" w:hAnsi="Times New Roman"/>
          <w:sz w:val="14"/>
          <w:szCs w:val="14"/>
          <w:color w:val="auto"/>
        </w:rPr>
      </w:pPr>
    </w:p>
    <w:p>
      <w:pPr>
        <w:ind w:left="260" w:hanging="252"/>
        <w:spacing w:after="0" w:line="297" w:lineRule="auto"/>
        <w:tabs>
          <w:tab w:leader="none" w:pos="2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528,950 ordinary shares reserved for future issuance under our 2025 Employee Stock Purchase Plan (the “ESPP”) as of March 31, 2026, as well as any automatic increase in the number of ordinary shares reserved for future issuance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020"/>
          </w:cols>
          <w:pgMar w:left="540" w:top="1122"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1" w:lineRule="exact"/>
        <w:rPr>
          <w:sz w:val="20"/>
          <w:szCs w:val="20"/>
          <w:color w:val="auto"/>
        </w:rPr>
      </w:pPr>
    </w:p>
    <w:p>
      <w:pPr>
        <w:ind w:firstLine="335"/>
        <w:spacing w:after="0" w:line="252"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You should carefully consider the risk factors described below and the risk factors incorporated by reference to our most recent Annual Report on Form 10-K and any subsequent Quarterly Reports on Form 10-Q or Current Reports on Form 8-K, including those we file after the date of this prospectus, and all other information contained or incorporated by reference into this prospectus, as updated by our subsequent filings under the Exchange Act, before acquiring any of such securities. The occurrence of any of these risks might cause you to lose all or part of your investment in the offered securities.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Risks Relating to this Offering</w:t>
      </w:r>
    </w:p>
    <w:p>
      <w:pPr>
        <w:spacing w:after="0" w:line="167"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If you purchase our ordinary shares sold in this offering, you may experience immediate and substantial dilution in the net tangible book value of your shares. In addition, we may issue additional equity or convertible debt securities in the future, which may result in additional dilution to investors.</w:t>
      </w:r>
    </w:p>
    <w:p>
      <w:pPr>
        <w:spacing w:after="0" w:line="152" w:lineRule="exact"/>
        <w:rPr>
          <w:sz w:val="20"/>
          <w:szCs w:val="20"/>
          <w:color w:val="auto"/>
        </w:rPr>
      </w:pPr>
    </w:p>
    <w:p>
      <w:pPr>
        <w:ind w:right="40" w:firstLine="335"/>
        <w:spacing w:after="0" w:line="271" w:lineRule="auto"/>
        <w:rPr>
          <w:sz w:val="20"/>
          <w:szCs w:val="20"/>
          <w:color w:val="auto"/>
        </w:rPr>
      </w:pPr>
      <w:r>
        <w:rPr>
          <w:rFonts w:ascii="Times New Roman" w:cs="Times New Roman" w:eastAsia="Times New Roman" w:hAnsi="Times New Roman"/>
          <w:sz w:val="13"/>
          <w:szCs w:val="13"/>
          <w:color w:val="auto"/>
        </w:rPr>
        <w:t>The price per share of our ordinary shares being offered may be higher than the net tangible book value per share of our outstanding ordinary shares prior to this offering. Assuming that an aggregate of 11,111,111 of our ordinary shares are sold at a price of $18.00 per share, the last reported sale price of our ordinary shares on the Nasdaq Capital Market on June 30, 2026, for aggregate gross proceeds of approximately $200 million and after deducting commissions and estimated offering expenses payable by us, new investors in this offering would incur immediate dilution of $8.25 per share. For a more detailed discussion of the foregoing, see the section entitled “Dilution” below. To the extent outstanding share options convertible preferred shares or warrants are exercised, or outstanding restricted share units vest, there will be further dilution to new investors. In addition, to the extent we raise additional capital in the future and we issue additional ordinary shares or securities convertible or exchangeable for our ordinary shares, our then existing shareholders may experience dilution and the new securities may have rights senior to those of our ordinary shares offered in this offering.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broad discretion in the use of the net proceeds from this offering and may not use them effectively.</w:t>
      </w:r>
    </w:p>
    <w:p>
      <w:pPr>
        <w:spacing w:after="0" w:line="89" w:lineRule="exact"/>
        <w:rPr>
          <w:sz w:val="20"/>
          <w:szCs w:val="20"/>
          <w:color w:val="auto"/>
        </w:rPr>
      </w:pPr>
    </w:p>
    <w:p>
      <w:pPr>
        <w:ind w:right="40" w:firstLine="335"/>
        <w:spacing w:after="0" w:line="248" w:lineRule="auto"/>
        <w:rPr>
          <w:sz w:val="20"/>
          <w:szCs w:val="20"/>
          <w:color w:val="auto"/>
        </w:rPr>
      </w:pPr>
      <w:r>
        <w:rPr>
          <w:rFonts w:ascii="Times New Roman" w:cs="Times New Roman" w:eastAsia="Times New Roman" w:hAnsi="Times New Roman"/>
          <w:sz w:val="14"/>
          <w:szCs w:val="14"/>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intend to use the net proceeds from this offering for general corporate purposes, including research and development and working capital. The failure by our management to apply these funds effectively could harm our business. Pending their use, we may invest the net proceeds from this offering in short-term, investment-grade, interest-bearing securities. These investments may not yield a favorable return to our shareholders. If we do not invest or apply the net proceeds from this offering in ways that enhance shareholder value, we may fail to achieve expected financial results, which could cause our share price to decline</w:t>
      </w:r>
      <w:r>
        <w:rPr>
          <w:rFonts w:ascii="Times New Roman" w:cs="Times New Roman" w:eastAsia="Times New Roman" w:hAnsi="Times New Roman"/>
          <w:sz w:val="14"/>
          <w:szCs w:val="14"/>
          <w:b w:val="1"/>
          <w:bCs w:val="1"/>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actual number of shares we will issue under the Sales Agreement, at any one time or in total, is uncertain.</w:t>
      </w:r>
    </w:p>
    <w:p>
      <w:pPr>
        <w:spacing w:after="0" w:line="89" w:lineRule="exact"/>
        <w:rPr>
          <w:sz w:val="20"/>
          <w:szCs w:val="20"/>
          <w:color w:val="auto"/>
        </w:rPr>
      </w:pPr>
    </w:p>
    <w:p>
      <w:pPr>
        <w:ind w:right="180" w:firstLine="335"/>
        <w:spacing w:after="0" w:line="252" w:lineRule="auto"/>
        <w:rPr>
          <w:sz w:val="20"/>
          <w:szCs w:val="20"/>
          <w:color w:val="auto"/>
        </w:rPr>
      </w:pPr>
      <w:r>
        <w:rPr>
          <w:rFonts w:ascii="Times New Roman" w:cs="Times New Roman" w:eastAsia="Times New Roman" w:hAnsi="Times New Roman"/>
          <w:sz w:val="14"/>
          <w:szCs w:val="14"/>
          <w:color w:val="auto"/>
        </w:rPr>
        <w:t>Subject to certain limitations in the Sales Agreement and compliance with applicable law, we have the discretion to deliver instructions to Jefferies to sell our ordinary shares at any time throughout the term of the Sales Agreement. The number of shares that are sold through Jefferies after our instruction will fluctuate based on a number of factors, including the market price of our ordinary shares during the sales period, the limits we set with Jefferies in any instruction to sell shares, and the demand for our ordinary shares during the sales period. Because the price per share of each share sold will fluctuate during this offering, it is not currently possible to predict the number of shares that will be sold or the gross proceeds to be raised in connection with those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1272"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i w:val="1"/>
          <w:iCs w:val="1"/>
          <w:color w:val="auto"/>
        </w:rPr>
        <w:t>The ordinary shares offered hereby will be sold in “at the market offerings,” and investors who buy shares at different times will likely pay different prices.</w:t>
      </w:r>
    </w:p>
    <w:p>
      <w:pPr>
        <w:spacing w:after="0" w:line="89" w:lineRule="exact"/>
        <w:rPr>
          <w:sz w:val="20"/>
          <w:szCs w:val="20"/>
          <w:color w:val="auto"/>
        </w:rPr>
      </w:pPr>
    </w:p>
    <w:p>
      <w:pPr>
        <w:ind w:firstLine="335"/>
        <w:spacing w:after="0" w:line="255" w:lineRule="auto"/>
        <w:rPr>
          <w:sz w:val="20"/>
          <w:szCs w:val="20"/>
          <w:color w:val="auto"/>
        </w:rPr>
      </w:pPr>
      <w:r>
        <w:rPr>
          <w:rFonts w:ascii="Times New Roman" w:cs="Times New Roman" w:eastAsia="Times New Roman" w:hAnsi="Times New Roman"/>
          <w:sz w:val="14"/>
          <w:szCs w:val="14"/>
          <w:color w:val="auto"/>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in this offering. Investors may experience a decline in the value of the shares they purchase in this offering as a result of sales made at prices lower than the prices they paid.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of a significant number of our ordinary shares in the public markets, or the perception that such sales could occur, could depress the market price of our ordinary shares.</w:t>
      </w:r>
    </w:p>
    <w:p>
      <w:pPr>
        <w:spacing w:after="0" w:line="192" w:lineRule="exact"/>
        <w:rPr>
          <w:sz w:val="20"/>
          <w:szCs w:val="20"/>
          <w:color w:val="auto"/>
        </w:rPr>
      </w:pPr>
    </w:p>
    <w:p>
      <w:pPr>
        <w:ind w:right="40" w:firstLine="492"/>
        <w:spacing w:after="0" w:line="247" w:lineRule="auto"/>
        <w:rPr>
          <w:sz w:val="20"/>
          <w:szCs w:val="20"/>
          <w:color w:val="auto"/>
        </w:rPr>
      </w:pPr>
      <w:r>
        <w:rPr>
          <w:rFonts w:ascii="Times New Roman" w:cs="Times New Roman" w:eastAsia="Times New Roman" w:hAnsi="Times New Roman"/>
          <w:sz w:val="14"/>
          <w:szCs w:val="14"/>
          <w:color w:val="auto"/>
        </w:rPr>
        <w:t>Sales of a substantial number of our ordinary shares in the public markets, or the perception that such sales could occur, could depress the market price of our ordinary shares and impair our ability to raise capital through the sale of additional equity securities. In addition, certain entities beneficially own a significant percentage of our Company. As of December 8, 2025, entities affiliated with Fairmount Funds Management LLC beneficially own 5,643,482 of our ordinary shares, or approximately 18.52% of our ordinary shares, assuming the exercise of all pre-funded warrants held by such entities, and the conversion of all outstanding shares of our Series A Convertible Preferred Shares held by such entities into ordinary shares, without giving effect to contractual limitations contained in such securities that restrict the holder (together with its affiliates) from beneficially owning in excess of a specified percentage of our ordinary shares, and without giving effect to the exercise or conversion of any security or conversion of any securities exercisable or convertible into ordinary shares owned by other shareholders. It is possible that we could issue and sell additional ordinary shares in the public markets. We cannot predict the effect that future sales of our ordinary shares, or the perception that such sales might occur, would have on the market price of our ordinary shares. Ordinary shares that are subject to our outstanding options or warrants will become eligible for sale in the public market to the extent permitted by the provisions of various vesting agreements and Rules 144 and 701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1108" w:right="31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1" w:lineRule="exact"/>
        <w:rPr>
          <w:sz w:val="20"/>
          <w:szCs w:val="20"/>
          <w:color w:val="auto"/>
        </w:rPr>
      </w:pPr>
    </w:p>
    <w:p>
      <w:pPr>
        <w:ind w:right="140" w:firstLine="335"/>
        <w:spacing w:after="0" w:line="255" w:lineRule="auto"/>
        <w:rPr>
          <w:sz w:val="20"/>
          <w:szCs w:val="20"/>
          <w:color w:val="auto"/>
        </w:rPr>
      </w:pPr>
      <w:r>
        <w:rPr>
          <w:rFonts w:ascii="Times New Roman" w:cs="Times New Roman" w:eastAsia="Times New Roman" w:hAnsi="Times New Roman"/>
          <w:sz w:val="14"/>
          <w:szCs w:val="14"/>
          <w:color w:val="auto"/>
        </w:rPr>
        <w:t>This prospectus contains “forward-looking statements” within the meaning of Section 27A of the Securities Act, and Section 21E of the Exchange Act.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w:t>
      </w:r>
    </w:p>
    <w:p>
      <w:pPr>
        <w:spacing w:after="0" w:line="143" w:lineRule="exact"/>
        <w:rPr>
          <w:sz w:val="20"/>
          <w:szCs w:val="20"/>
          <w:color w:val="auto"/>
        </w:rPr>
      </w:pPr>
    </w:p>
    <w:p>
      <w:pPr>
        <w:ind w:right="20" w:firstLine="335"/>
        <w:spacing w:after="0" w:line="247" w:lineRule="auto"/>
        <w:rPr>
          <w:sz w:val="20"/>
          <w:szCs w:val="20"/>
          <w:color w:val="auto"/>
        </w:rPr>
      </w:pPr>
      <w:r>
        <w:rPr>
          <w:rFonts w:ascii="Times New Roman" w:cs="Times New Roman" w:eastAsia="Times New Roman" w:hAnsi="Times New Roman"/>
          <w:sz w:val="14"/>
          <w:szCs w:val="14"/>
          <w:color w:val="auto"/>
        </w:rPr>
        <w:t>All statements, other than statements of historical facts contained in this prospectus, including, without limitation, statements regarding our future results of operations and financial position, business strategy, the length of time that we believe our existing cash resources will fund our operations, the use of proceeds from this offering, our market size, our competition, our potential growth opportunities, our preclinical and future clinical development activities, the efficacy and safety profile of our product candidates, the potential therapeutic benefits and economic value of our product candidates, the timing and results of preclinical studies and clinical trials, the expected impact of macroeconomic conditions, including inflation, increasing interest rates and volatile market conditions, as well as global events, including military conflicts and geopolitical tensions on our operations, and the receipt and timing of potential regulatory designations, approvals and commercialization of product candidates, are forward-looking statements. Forward-looking statements generally relate to future events or our future financial or operating performance.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152" w:lineRule="exact"/>
        <w:rPr>
          <w:sz w:val="20"/>
          <w:szCs w:val="20"/>
          <w:color w:val="auto"/>
        </w:rPr>
      </w:pPr>
    </w:p>
    <w:p>
      <w:pPr>
        <w:ind w:right="100" w:firstLine="335"/>
        <w:spacing w:after="0" w:line="249" w:lineRule="auto"/>
        <w:rPr>
          <w:sz w:val="20"/>
          <w:szCs w:val="20"/>
          <w:color w:val="auto"/>
        </w:rPr>
      </w:pPr>
      <w:r>
        <w:rPr>
          <w:rFonts w:ascii="Times New Roman" w:cs="Times New Roman" w:eastAsia="Times New Roman" w:hAnsi="Times New Roman"/>
          <w:sz w:val="14"/>
          <w:szCs w:val="14"/>
          <w:color w:val="auto"/>
        </w:rPr>
        <w:t>These forward-looking statements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Factors that might cause such a difference are disclosed in the sections titled “Risk Factors” in this prospectus and in the documents incorporated by reference in this prospectus. You should evaluate all forward-looking statements made in this prospectus in the context of these risks and uncertainties. We caution you that the risks, uncertainties and other factors referred to in this prospectus may not contain all of the risks, uncertainties and other factors that may affect our future results and operations.</w:t>
      </w:r>
    </w:p>
    <w:p>
      <w:pPr>
        <w:spacing w:after="0" w:line="147" w:lineRule="exact"/>
        <w:rPr>
          <w:sz w:val="20"/>
          <w:szCs w:val="20"/>
          <w:color w:val="auto"/>
        </w:rPr>
      </w:pPr>
    </w:p>
    <w:p>
      <w:pPr>
        <w:ind w:right="100" w:firstLine="335"/>
        <w:spacing w:after="0" w:line="284" w:lineRule="auto"/>
        <w:rPr>
          <w:sz w:val="20"/>
          <w:szCs w:val="20"/>
          <w:color w:val="auto"/>
        </w:rPr>
      </w:pPr>
      <w:r>
        <w:rPr>
          <w:rFonts w:ascii="Times New Roman" w:cs="Times New Roman" w:eastAsia="Times New Roman" w:hAnsi="Times New Roman"/>
          <w:sz w:val="13"/>
          <w:szCs w:val="13"/>
          <w:color w:val="auto"/>
        </w:rPr>
        <w:t>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6" w:lineRule="exact"/>
        <w:rPr>
          <w:sz w:val="20"/>
          <w:szCs w:val="20"/>
          <w:color w:val="auto"/>
        </w:rPr>
      </w:pPr>
    </w:p>
    <w:p>
      <w:pPr>
        <w:ind w:right="20" w:firstLine="335"/>
        <w:spacing w:after="0" w:line="275" w:lineRule="auto"/>
        <w:rPr>
          <w:sz w:val="20"/>
          <w:szCs w:val="20"/>
          <w:color w:val="auto"/>
        </w:rPr>
      </w:pPr>
      <w:r>
        <w:rPr>
          <w:rFonts w:ascii="Times New Roman" w:cs="Times New Roman" w:eastAsia="Times New Roman" w:hAnsi="Times New Roman"/>
          <w:sz w:val="13"/>
          <w:szCs w:val="13"/>
          <w:color w:val="auto"/>
        </w:rPr>
        <w:t>This prospectus contains or incorporates by reference estimates, projections and other information concerning our industry, our business and the potential markets for our product candidates, including data regarding the estimated size of such markets and the incidence of certain medical conditions. We obtained the industry, market and competitive position data set forth in this prospectus from our own internal estimates and research, as well as from academic and industry publications,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the</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industry and market, which we believe to be reasonable. In some cases, we do not expressly refer to the sources from which this data is derived. We believe that the third-party data set forth in this prospectus is reliable and based on reasonable assumptions. This information, to the extent it contains estimates or projections involves a number of assumptions and limitations, and you are cautioned not to give undue weight to such estimates or projections. The industry in which we operate is subject to risks and uncertainties and is subject to change based on various factors, including those set forth under the section titled “Risk Factors” included in this prospectus.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1272"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color w:val="auto"/>
        </w:rPr>
        <w:t>and other factors could cause results to differ materially from those expressed in the estimates made by the independent parties and by us.</w:t>
      </w:r>
    </w:p>
    <w:p>
      <w:pPr>
        <w:spacing w:after="0" w:line="167" w:lineRule="exact"/>
        <w:rPr>
          <w:sz w:val="20"/>
          <w:szCs w:val="20"/>
          <w:color w:val="auto"/>
        </w:rPr>
      </w:pPr>
    </w:p>
    <w:p>
      <w:pPr>
        <w:ind w:firstLine="335"/>
        <w:spacing w:after="0" w:line="252" w:lineRule="auto"/>
        <w:rPr>
          <w:sz w:val="20"/>
          <w:szCs w:val="20"/>
          <w:color w:val="auto"/>
        </w:rPr>
      </w:pPr>
      <w:r>
        <w:rPr>
          <w:rFonts w:ascii="Times New Roman" w:cs="Times New Roman" w:eastAsia="Times New Roman" w:hAnsi="Times New Roman"/>
          <w:sz w:val="14"/>
          <w:szCs w:val="14"/>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120"/>
          </w:cols>
          <w:pgMar w:left="300" w:top="1276" w:right="479" w:bottom="1440" w:gutter="0" w:footer="0" w:header="0"/>
        </w:sectPr>
      </w:pPr>
    </w:p>
    <w:bookmarkStart w:id="46" w:name="page47"/>
    <w:bookmarkEnd w:id="46"/>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1" w:lineRule="exact"/>
        <w:rPr>
          <w:sz w:val="20"/>
          <w:szCs w:val="20"/>
          <w:color w:val="auto"/>
        </w:rPr>
      </w:pPr>
    </w:p>
    <w:p>
      <w:pPr>
        <w:ind w:firstLine="335"/>
        <w:spacing w:after="0" w:line="266" w:lineRule="auto"/>
        <w:rPr>
          <w:sz w:val="20"/>
          <w:szCs w:val="20"/>
          <w:color w:val="auto"/>
        </w:rPr>
      </w:pPr>
      <w:r>
        <w:rPr>
          <w:rFonts w:ascii="Times New Roman" w:cs="Times New Roman" w:eastAsia="Times New Roman" w:hAnsi="Times New Roman"/>
          <w:sz w:val="14"/>
          <w:szCs w:val="14"/>
          <w:color w:val="auto"/>
        </w:rPr>
        <w:t>We may issue and sell our ordinary shares having aggregate sales proceeds of up to $200 million from time to time. Because there is no minimum offering amount required as a condition to close this offering, the actual total public offering amount, commissions and proceeds to us, if any, are not determinable at this time.</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We intend to use the net proceeds of this offering for general corporate purposes, including research and development and working capital.</w:t>
      </w:r>
    </w:p>
    <w:p>
      <w:pPr>
        <w:spacing w:after="0" w:line="167" w:lineRule="exact"/>
        <w:rPr>
          <w:sz w:val="20"/>
          <w:szCs w:val="20"/>
          <w:color w:val="auto"/>
        </w:rPr>
      </w:pPr>
    </w:p>
    <w:p>
      <w:pPr>
        <w:ind w:firstLine="335"/>
        <w:spacing w:after="0" w:line="252" w:lineRule="auto"/>
        <w:rPr>
          <w:sz w:val="20"/>
          <w:szCs w:val="20"/>
          <w:color w:val="auto"/>
        </w:rPr>
      </w:pPr>
      <w:r>
        <w:rPr>
          <w:rFonts w:ascii="Times New Roman" w:cs="Times New Roman" w:eastAsia="Times New Roman" w:hAnsi="Times New Roman"/>
          <w:sz w:val="14"/>
          <w:szCs w:val="14"/>
          <w:color w:val="auto"/>
        </w:rPr>
        <w:t>The amounts and timing of our actual expenditures will depend on numerous factors, including the factors described under the heading “Risk Factors” in this prospectus and in the documents incorporated by reference 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00"/>
          </w:cols>
          <w:pgMar w:left="300" w:top="1272" w:right="39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1" w:lineRule="exact"/>
        <w:rPr>
          <w:sz w:val="20"/>
          <w:szCs w:val="20"/>
          <w:color w:val="auto"/>
        </w:rPr>
      </w:pPr>
    </w:p>
    <w:p>
      <w:pPr>
        <w:ind w:left="20" w:right="40" w:firstLine="335"/>
        <w:spacing w:after="0" w:line="252" w:lineRule="auto"/>
        <w:rPr>
          <w:sz w:val="20"/>
          <w:szCs w:val="20"/>
          <w:color w:val="auto"/>
        </w:rPr>
      </w:pPr>
      <w:r>
        <w:rPr>
          <w:rFonts w:ascii="Times New Roman" w:cs="Times New Roman" w:eastAsia="Times New Roman" w:hAnsi="Times New Roman"/>
          <w:sz w:val="14"/>
          <w:szCs w:val="14"/>
          <w:color w:val="auto"/>
        </w:rPr>
        <w:t>If you invest in our ordinary shares, your interest will be diluted to the extent of the difference between the price per share you pay in this offering and the net tangible book value per share of our ordinary shares immediately after this offering. As of March 31, 2026, we had a historical net tangible book value of $183.8 million, or $6.67 per ordinary share, based on 27,571,935 ordinary shares outstanding. Our net tangible book value per share represents the amount of our total tangible assets reduced by the amount of our total liabilities, divided by the total number of ordinary shares outstanding as of March 31, 2026.</w:t>
      </w:r>
    </w:p>
    <w:p>
      <w:pPr>
        <w:spacing w:after="0" w:line="145" w:lineRule="exact"/>
        <w:rPr>
          <w:sz w:val="20"/>
          <w:szCs w:val="20"/>
          <w:color w:val="auto"/>
        </w:rPr>
      </w:pPr>
    </w:p>
    <w:p>
      <w:pPr>
        <w:ind w:left="20" w:right="60" w:firstLine="335"/>
        <w:spacing w:after="0" w:line="252" w:lineRule="auto"/>
        <w:rPr>
          <w:sz w:val="20"/>
          <w:szCs w:val="20"/>
          <w:color w:val="auto"/>
        </w:rPr>
      </w:pPr>
      <w:r>
        <w:rPr>
          <w:rFonts w:ascii="Times New Roman" w:cs="Times New Roman" w:eastAsia="Times New Roman" w:hAnsi="Times New Roman"/>
          <w:sz w:val="14"/>
          <w:szCs w:val="14"/>
          <w:color w:val="auto"/>
        </w:rPr>
        <w:t>After giving effect to the sale of our ordinary shares in the aggregate amount of $200 million at an assumed offering price of $18.00 per share, the last reported sale price of our ordinary shares on the Nasdaq Capital Market on June 30, 2026, and after deducting offering commissions and estimated aggregate offering expenses payable by us, our as adjusted net tangible book value as of March 31, 2026 would have been approximately $377.3 million, or $9.75 per ordinary share. This represents an immediate increase in net tangible book value of $3.08 per share to our existing shareholders and an immediate dilution in net tangible book value of $8.25 per share to new investors in this offering at the assumed public offering price.</w:t>
      </w:r>
    </w:p>
    <w:p>
      <w:pPr>
        <w:spacing w:after="0" w:line="134" w:lineRule="exact"/>
        <w:rPr>
          <w:sz w:val="20"/>
          <w:szCs w:val="20"/>
          <w:color w:val="auto"/>
        </w:rPr>
      </w:pPr>
    </w:p>
    <w:p>
      <w:pPr>
        <w:jc w:val="both"/>
        <w:ind w:left="20" w:right="180" w:firstLine="335"/>
        <w:spacing w:after="0" w:line="289" w:lineRule="auto"/>
        <w:rPr>
          <w:sz w:val="20"/>
          <w:szCs w:val="20"/>
          <w:color w:val="auto"/>
        </w:rPr>
      </w:pPr>
      <w:r>
        <w:rPr>
          <w:rFonts w:ascii="Times New Roman" w:cs="Times New Roman" w:eastAsia="Times New Roman" w:hAnsi="Times New Roman"/>
          <w:sz w:val="13"/>
          <w:szCs w:val="13"/>
          <w:color w:val="auto"/>
        </w:rPr>
        <w:t>The following table illustrates this calculation on a per share basis. The as adjusted information is illustrative only and will adjust based on the actual price to the public, the actual number of shares sold and other terms of the offering determined at the time our ordinary shares are sold pursuant to this prospectus. The shares sold in this offering, if any, will be sold from time to time at various prices.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public offering price per share</w:t>
            </w:r>
          </w:p>
        </w:tc>
        <w:tc>
          <w:tcPr>
            <w:tcW w:w="3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10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tangible book value per share as of March 31, 2026</w:t>
            </w: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9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Increase in net tangible book value per share attributable to the offering</w:t>
            </w:r>
          </w:p>
        </w:tc>
        <w:tc>
          <w:tcPr>
            <w:tcW w:w="3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6"/>
        </w:trPr>
        <w:tc>
          <w:tcPr>
            <w:tcW w:w="9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adjusted net tangible book value per share after giving effect to the offering</w:t>
            </w:r>
          </w:p>
        </w:tc>
        <w:tc>
          <w:tcPr>
            <w:tcW w:w="34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tcPr>
          <w:p>
            <w:pPr>
              <w:spacing w:after="0"/>
              <w:rPr>
                <w:sz w:val="19"/>
                <w:szCs w:val="19"/>
                <w:color w:val="auto"/>
              </w:rPr>
            </w:pPr>
          </w:p>
        </w:tc>
      </w:tr>
      <w:tr>
        <w:trPr>
          <w:trHeight w:val="22"/>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in net tangible book value per share to new investors in this offering</w:t>
            </w:r>
          </w:p>
        </w:tc>
        <w:tc>
          <w:tcPr>
            <w:tcW w:w="3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85" w:lineRule="exact"/>
        <w:rPr>
          <w:sz w:val="20"/>
          <w:szCs w:val="20"/>
          <w:color w:val="auto"/>
        </w:rPr>
      </w:pPr>
    </w:p>
    <w:p>
      <w:pPr>
        <w:ind w:left="20" w:firstLine="335"/>
        <w:spacing w:after="0" w:line="266" w:lineRule="auto"/>
        <w:rPr>
          <w:sz w:val="20"/>
          <w:szCs w:val="20"/>
          <w:color w:val="auto"/>
        </w:rPr>
      </w:pPr>
      <w:r>
        <w:rPr>
          <w:rFonts w:ascii="Times New Roman" w:cs="Times New Roman" w:eastAsia="Times New Roman" w:hAnsi="Times New Roman"/>
          <w:sz w:val="14"/>
          <w:szCs w:val="14"/>
          <w:color w:val="auto"/>
        </w:rPr>
        <w:t>Our ordinary shares to be outstanding immediately after this offering is based on 27,571,935 ordinary shares outstanding as of March 31, 2026. The number of shares outstanding as of March 31, 2026 excludes:</w:t>
      </w:r>
    </w:p>
    <w:p>
      <w:pPr>
        <w:spacing w:after="0" w:line="146" w:lineRule="exact"/>
        <w:rPr>
          <w:sz w:val="20"/>
          <w:szCs w:val="20"/>
          <w:color w:val="auto"/>
        </w:rPr>
      </w:pPr>
    </w:p>
    <w:p>
      <w:pPr>
        <w:ind w:left="520" w:hanging="252"/>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2,890,000 ordinary shares issuable upon conversion of our Series A non-voting convertible preferred shares outstanding as of March 31, 2026;</w:t>
      </w:r>
    </w:p>
    <w:p>
      <w:pPr>
        <w:spacing w:after="0" w:line="54" w:lineRule="exact"/>
        <w:rPr>
          <w:rFonts w:ascii="Times New Roman" w:cs="Times New Roman" w:eastAsia="Times New Roman" w:hAnsi="Times New Roman"/>
          <w:sz w:val="14"/>
          <w:szCs w:val="14"/>
          <w:color w:val="auto"/>
        </w:rPr>
      </w:pPr>
    </w:p>
    <w:p>
      <w:pPr>
        <w:ind w:left="520" w:right="200" w:hanging="252"/>
        <w:spacing w:after="0" w:line="297" w:lineRule="auto"/>
        <w:tabs>
          <w:tab w:leader="none" w:pos="51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2,898,556 ordinary shares issuable upon exercise of our pre-funded warrants outstanding as of March 31, 2026, with an exercise price of $0.001 per share (including the 131,434 ordinary shares issuable upon exercise of the Private Placement Pre-Funded Warrants and 1,636,706 ordinary shares issuable upon exercise of the Fairmount Pre-Funded Warrants);</w:t>
      </w:r>
    </w:p>
    <w:p>
      <w:pPr>
        <w:spacing w:after="0" w:line="1" w:lineRule="exact"/>
        <w:rPr>
          <w:rFonts w:ascii="Times New Roman" w:cs="Times New Roman" w:eastAsia="Times New Roman" w:hAnsi="Times New Roman"/>
          <w:sz w:val="14"/>
          <w:szCs w:val="14"/>
          <w:color w:val="auto"/>
        </w:rPr>
      </w:pPr>
    </w:p>
    <w:p>
      <w:pPr>
        <w:ind w:left="520" w:right="20" w:hanging="252"/>
        <w:spacing w:after="0" w:line="305" w:lineRule="auto"/>
        <w:tabs>
          <w:tab w:leader="none" w:pos="51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437,297 ordinary shares issuable upon exercise of warrants outstanding as of March 31, 2026, including 402,731 warrants issued on December 31, 2025 with an exercise price of $11.86 and 34,566 warrants issued on January 31, 2026 with an exercise price of $13.50, under the ADC Paragon Option Agreement with Parascent Holding LLC;</w:t>
      </w:r>
    </w:p>
    <w:p>
      <w:pPr>
        <w:spacing w:after="0" w:line="1"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1,885,194 ordinary shares issuable upon the exercise of options outstanding as of March 31, 2026 under our 2025 Plan, at a weighted-average exercise price of $13.18 per share;</w:t>
      </w:r>
    </w:p>
    <w:p>
      <w:pPr>
        <w:spacing w:after="0" w:line="54"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278,332 ordinary shares issuable upon the vesting of restricted share units outstanding as of March 31, 2026 under our 2025 Plan;</w:t>
      </w:r>
    </w:p>
    <w:p>
      <w:pPr>
        <w:spacing w:after="0" w:line="64" w:lineRule="exact"/>
        <w:rPr>
          <w:rFonts w:ascii="Times New Roman" w:cs="Times New Roman" w:eastAsia="Times New Roman" w:hAnsi="Times New Roman"/>
          <w:sz w:val="14"/>
          <w:szCs w:val="14"/>
          <w:color w:val="auto"/>
        </w:rPr>
      </w:pPr>
    </w:p>
    <w:p>
      <w:pPr>
        <w:ind w:left="520" w:hanging="252"/>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3,683,519 ordinary shares issuable upon the exercise of options outstanding as of March 31, 2026 under our 2024 Plan, at a weighted-average exercise price of $7.90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80"/>
          </w:cols>
          <w:pgMar w:left="280" w:top="1108" w:right="339" w:bottom="1440" w:gutter="0" w:footer="0" w:header="0"/>
        </w:sectPr>
      </w:pPr>
    </w:p>
    <w:bookmarkStart w:id="48" w:name="page49"/>
    <w:bookmarkEnd w:id="48"/>
    <w:p>
      <w:pPr>
        <w:ind w:left="500" w:hanging="252"/>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328,789 ordinary shares issuable upon the vesting of restricted share units outstanding as of March 31, 2026 under our 2024 Plan;</w:t>
      </w:r>
    </w:p>
    <w:p>
      <w:pPr>
        <w:spacing w:after="0" w:line="54"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732,776 ordinary shares issuable upon the exercise of options outstanding as of March 31, 2026 under our 2025 Inducement Plan, at a weighted-average exercise price of $12.39 per share;</w:t>
      </w:r>
    </w:p>
    <w:p>
      <w:pPr>
        <w:spacing w:after="0" w:line="54" w:lineRule="exact"/>
        <w:rPr>
          <w:rFonts w:ascii="Times New Roman" w:cs="Times New Roman" w:eastAsia="Times New Roman" w:hAnsi="Times New Roman"/>
          <w:sz w:val="14"/>
          <w:szCs w:val="14"/>
          <w:color w:val="auto"/>
        </w:rPr>
      </w:pPr>
    </w:p>
    <w:p>
      <w:pPr>
        <w:ind w:left="500" w:right="240" w:hanging="252"/>
        <w:spacing w:after="0" w:line="305" w:lineRule="auto"/>
        <w:tabs>
          <w:tab w:leader="none" w:pos="49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1,831,145 ordinary shares reserved for future issuance under the 2025 Plan as of March 31, 2026, as well as any automatic increase in the number of ordinary shares reserved for future issuance under our 2025 Plan;</w:t>
      </w:r>
    </w:p>
    <w:p>
      <w:pPr>
        <w:spacing w:after="0" w:line="1"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517,224 ordinary shares reserved for future issuance under the 2025 Inducement Plan as of March 31, 2026; and</w:t>
      </w:r>
    </w:p>
    <w:p>
      <w:pPr>
        <w:spacing w:after="0" w:line="54" w:lineRule="exact"/>
        <w:rPr>
          <w:rFonts w:ascii="Times New Roman" w:cs="Times New Roman" w:eastAsia="Times New Roman" w:hAnsi="Times New Roman"/>
          <w:sz w:val="14"/>
          <w:szCs w:val="14"/>
          <w:color w:val="auto"/>
        </w:rPr>
      </w:pPr>
    </w:p>
    <w:p>
      <w:pPr>
        <w:ind w:left="500" w:right="20" w:hanging="252"/>
        <w:spacing w:after="0" w:line="312" w:lineRule="auto"/>
        <w:tabs>
          <w:tab w:leader="none" w:pos="49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528,950 ordinary shares reserved for future issuance under our ESPP as of March 31, 2026, as well as any automatic increase in the number of ordinary shares reserved for future issuance under the ESPP.</w:t>
      </w:r>
    </w:p>
    <w:p>
      <w:pPr>
        <w:spacing w:after="0" w:line="105" w:lineRule="exact"/>
        <w:rPr>
          <w:sz w:val="20"/>
          <w:szCs w:val="20"/>
          <w:color w:val="auto"/>
        </w:rPr>
      </w:pPr>
    </w:p>
    <w:p>
      <w:pPr>
        <w:ind w:firstLine="335"/>
        <w:spacing w:after="0" w:line="307" w:lineRule="auto"/>
        <w:rPr>
          <w:sz w:val="20"/>
          <w:szCs w:val="20"/>
          <w:color w:val="auto"/>
        </w:rPr>
      </w:pPr>
      <w:r>
        <w:rPr>
          <w:rFonts w:ascii="Times New Roman" w:cs="Times New Roman" w:eastAsia="Times New Roman" w:hAnsi="Times New Roman"/>
          <w:sz w:val="13"/>
          <w:szCs w:val="13"/>
          <w:color w:val="auto"/>
        </w:rPr>
        <w:t>The foregoing table does not give effect to the exercise of any outstanding options or warrants, the vesting of any restricted share units or the conversion of any preferred shares. To the extent options or warrants are exercised</w:t>
      </w:r>
      <w:r>
        <w:rPr>
          <w:rFonts w:ascii="Times New Roman" w:cs="Times New Roman" w:eastAsia="Times New Roman" w:hAnsi="Times New Roman"/>
          <w:sz w:val="15"/>
          <w:szCs w:val="15"/>
          <w:color w:val="auto"/>
        </w:rPr>
        <w:t>,</w:t>
      </w:r>
      <w:r>
        <w:rPr>
          <w:rFonts w:ascii="Times New Roman" w:cs="Times New Roman" w:eastAsia="Times New Roman" w:hAnsi="Times New Roman"/>
          <w:sz w:val="13"/>
          <w:szCs w:val="13"/>
          <w:color w:val="auto"/>
        </w:rPr>
        <w:t xml:space="preserve"> restricted share units vest or preferred shares are converted, or we issue ordinary shares in connection with raising additional capital, there may be further dilution to new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80"/>
          </w:cols>
          <w:pgMar w:left="300" w:top="1122" w:right="31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1" w:lineRule="exact"/>
        <w:rPr>
          <w:sz w:val="20"/>
          <w:szCs w:val="20"/>
          <w:color w:val="auto"/>
        </w:rPr>
      </w:pPr>
    </w:p>
    <w:p>
      <w:pPr>
        <w:jc w:val="both"/>
        <w:ind w:right="60" w:firstLine="335"/>
        <w:spacing w:after="0" w:line="255" w:lineRule="auto"/>
        <w:rPr>
          <w:sz w:val="20"/>
          <w:szCs w:val="20"/>
          <w:color w:val="auto"/>
        </w:rPr>
      </w:pPr>
      <w:r>
        <w:rPr>
          <w:rFonts w:ascii="Times New Roman" w:cs="Times New Roman" w:eastAsia="Times New Roman" w:hAnsi="Times New Roman"/>
          <w:sz w:val="14"/>
          <w:szCs w:val="14"/>
          <w:color w:val="auto"/>
        </w:rPr>
        <w:t>We have entered into a Sales Agreement with Jefferies, under which we may offer and sell our ordinary shares from time to time through Jefferies acting as agent. Pursuant to this prospectus, we may offer and sell up to $200,000,000 of our ordinary shares. Sales of our ordinary shares, if any, under this prospectus and the accompanying prospectus will be made by any method that is deemed to be an “at the market offering” as defined in Rule 415(a)(4) under the Securities Act.</w:t>
      </w:r>
    </w:p>
    <w:p>
      <w:pPr>
        <w:spacing w:after="0" w:line="143" w:lineRule="exact"/>
        <w:rPr>
          <w:sz w:val="20"/>
          <w:szCs w:val="20"/>
          <w:color w:val="auto"/>
        </w:rPr>
      </w:pPr>
    </w:p>
    <w:p>
      <w:pPr>
        <w:ind w:right="100" w:firstLine="335"/>
        <w:spacing w:after="0" w:line="252" w:lineRule="auto"/>
        <w:rPr>
          <w:sz w:val="20"/>
          <w:szCs w:val="20"/>
          <w:color w:val="auto"/>
        </w:rPr>
      </w:pPr>
      <w:r>
        <w:rPr>
          <w:rFonts w:ascii="Times New Roman" w:cs="Times New Roman" w:eastAsia="Times New Roman" w:hAnsi="Times New Roman"/>
          <w:sz w:val="14"/>
          <w:szCs w:val="14"/>
          <w:color w:val="auto"/>
        </w:rPr>
        <w:t>Each time we wish to issue and sell ordinary shares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ordinary shares are subject to a number of conditions that we must meet.</w:t>
      </w:r>
    </w:p>
    <w:p>
      <w:pPr>
        <w:spacing w:after="0" w:line="145" w:lineRule="exact"/>
        <w:rPr>
          <w:sz w:val="20"/>
          <w:szCs w:val="20"/>
          <w:color w:val="auto"/>
        </w:rPr>
      </w:pPr>
    </w:p>
    <w:p>
      <w:pPr>
        <w:ind w:right="140" w:firstLine="335"/>
        <w:spacing w:after="0" w:line="255" w:lineRule="auto"/>
        <w:rPr>
          <w:sz w:val="20"/>
          <w:szCs w:val="20"/>
          <w:color w:val="auto"/>
        </w:rPr>
      </w:pPr>
      <w:r>
        <w:rPr>
          <w:rFonts w:ascii="Times New Roman" w:cs="Times New Roman" w:eastAsia="Times New Roman" w:hAnsi="Times New Roman"/>
          <w:sz w:val="14"/>
          <w:szCs w:val="14"/>
          <w:color w:val="auto"/>
        </w:rPr>
        <w:t>The settlement of sales of shares between us and Jefferies is generally anticipated to occur on the first trading day following the date on which the sale was made. Sales of our ordinary shares as contemplated in this prospectus will be settled through the facilities of The Depository Trust Company or by such other means as we and Jefferies may agree upon. There is no arrangement for funds to be received in an escrow, trust or similar arrangement.</w:t>
      </w:r>
    </w:p>
    <w:p>
      <w:pPr>
        <w:spacing w:after="0" w:line="143" w:lineRule="exact"/>
        <w:rPr>
          <w:sz w:val="20"/>
          <w:szCs w:val="20"/>
          <w:color w:val="auto"/>
        </w:rPr>
      </w:pPr>
    </w:p>
    <w:p>
      <w:pPr>
        <w:ind w:right="60" w:firstLine="335"/>
        <w:spacing w:after="0" w:line="250" w:lineRule="auto"/>
        <w:rPr>
          <w:sz w:val="20"/>
          <w:szCs w:val="20"/>
          <w:color w:val="auto"/>
        </w:rPr>
      </w:pPr>
      <w:r>
        <w:rPr>
          <w:rFonts w:ascii="Times New Roman" w:cs="Times New Roman" w:eastAsia="Times New Roman" w:hAnsi="Times New Roman"/>
          <w:sz w:val="14"/>
          <w:szCs w:val="14"/>
          <w:color w:val="auto"/>
        </w:rPr>
        <w:t>We will pay Jefferies a commission of 3.0% of the aggregate gross proceeds we receive from each sale of our ordinary shares.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$100,000, in addition to certain ongoing disbursements of its legal counsel, unless we and Jefferies otherwise agree. We estimate that the total expenses for the offering, excluding any commissions or expense reimbursement payable to Jefferies under the terms of the Sales Agreement, will be approximately $554,550. The remaining sale proceeds, after deducting any other transaction fees, will equal our net proceeds from the sale of such shares.</w:t>
      </w:r>
    </w:p>
    <w:p>
      <w:pPr>
        <w:spacing w:after="0" w:line="146" w:lineRule="exact"/>
        <w:rPr>
          <w:sz w:val="20"/>
          <w:szCs w:val="20"/>
          <w:color w:val="auto"/>
        </w:rPr>
      </w:pPr>
    </w:p>
    <w:p>
      <w:pPr>
        <w:ind w:right="300" w:firstLine="335"/>
        <w:spacing w:after="0" w:line="266" w:lineRule="auto"/>
        <w:rPr>
          <w:sz w:val="20"/>
          <w:szCs w:val="20"/>
          <w:color w:val="auto"/>
        </w:rPr>
      </w:pPr>
      <w:r>
        <w:rPr>
          <w:rFonts w:ascii="Times New Roman" w:cs="Times New Roman" w:eastAsia="Times New Roman" w:hAnsi="Times New Roman"/>
          <w:sz w:val="14"/>
          <w:szCs w:val="14"/>
          <w:color w:val="auto"/>
        </w:rPr>
        <w:t>Jefferies will provide written confirmation to us before the open on The Nasdaq Capital Market on the day following each day on which ordinary shares are sold under the Sales Agreement. Each confirmation will include the number of shares sold on that day, the aggregate gross proceeds of such sales and the proceeds to us.</w:t>
      </w:r>
    </w:p>
    <w:p>
      <w:pPr>
        <w:spacing w:after="0" w:line="136" w:lineRule="exact"/>
        <w:rPr>
          <w:sz w:val="20"/>
          <w:szCs w:val="20"/>
          <w:color w:val="auto"/>
        </w:rPr>
      </w:pPr>
    </w:p>
    <w:p>
      <w:pPr>
        <w:ind w:firstLine="335"/>
        <w:spacing w:after="0" w:line="255" w:lineRule="auto"/>
        <w:rPr>
          <w:sz w:val="20"/>
          <w:szCs w:val="20"/>
          <w:color w:val="auto"/>
        </w:rPr>
      </w:pPr>
      <w:r>
        <w:rPr>
          <w:rFonts w:ascii="Times New Roman" w:cs="Times New Roman" w:eastAsia="Times New Roman" w:hAnsi="Times New Roman"/>
          <w:sz w:val="14"/>
          <w:szCs w:val="14"/>
          <w:color w:val="auto"/>
        </w:rPr>
        <w:t>In connection with the sale of the ordinary shares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offering of our ordinary shares pursuant to the Sales Agreement will terminate as permitted therein.</w:t>
      </w:r>
    </w:p>
    <w:p>
      <w:pPr>
        <w:spacing w:after="0" w:line="167" w:lineRule="exact"/>
        <w:rPr>
          <w:sz w:val="20"/>
          <w:szCs w:val="20"/>
          <w:color w:val="auto"/>
        </w:rPr>
      </w:pPr>
    </w:p>
    <w:p>
      <w:pPr>
        <w:ind w:right="240" w:firstLine="335"/>
        <w:spacing w:after="0" w:line="266" w:lineRule="auto"/>
        <w:rPr>
          <w:sz w:val="20"/>
          <w:szCs w:val="20"/>
          <w:color w:val="auto"/>
        </w:rPr>
      </w:pPr>
      <w:r>
        <w:rPr>
          <w:rFonts w:ascii="Times New Roman" w:cs="Times New Roman" w:eastAsia="Times New Roman" w:hAnsi="Times New Roman"/>
          <w:sz w:val="14"/>
          <w:szCs w:val="14"/>
          <w:color w:val="auto"/>
        </w:rPr>
        <w:t>This summary of the material provisions of the Sales Agreement does not purport to be a complete statement of its terms and conditions. A copy of the Sales Agreement is filed as an exhibit to the registration statement of which this prospectus forms a part.</w:t>
      </w:r>
    </w:p>
    <w:p>
      <w:pPr>
        <w:spacing w:after="0" w:line="136" w:lineRule="exact"/>
        <w:rPr>
          <w:sz w:val="20"/>
          <w:szCs w:val="20"/>
          <w:color w:val="auto"/>
        </w:rPr>
      </w:pPr>
    </w:p>
    <w:p>
      <w:pPr>
        <w:ind w:right="180" w:firstLine="335"/>
        <w:spacing w:after="0" w:line="253" w:lineRule="auto"/>
        <w:rPr>
          <w:sz w:val="20"/>
          <w:szCs w:val="20"/>
          <w:color w:val="auto"/>
        </w:rPr>
      </w:pPr>
      <w:r>
        <w:rPr>
          <w:rFonts w:ascii="Times New Roman" w:cs="Times New Roman" w:eastAsia="Times New Roman" w:hAnsi="Times New Roman"/>
          <w:sz w:val="14"/>
          <w:szCs w:val="14"/>
          <w:color w:val="auto"/>
        </w:rPr>
        <w:t>Jefferies and its affiliates may in the future provide various investment banking, commercial banking, financial advisory and other financial services for us and our affiliates, for which services they may in the future</w:t>
      </w:r>
    </w:p>
    <w:p>
      <w:pPr>
        <w:spacing w:after="0" w:line="1"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4"/>
          <w:szCs w:val="14"/>
          <w:color w:val="auto"/>
        </w:rPr>
        <w:t>receive customary fees. In the course of its business, Jefferies may actively trade our securities for its own account or for the accounts of customers, and, accordingly, Jefferies may at any time hold long or short positions in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80"/>
          </w:cols>
          <w:pgMar w:left="300" w:top="1272" w:right="319" w:bottom="1440" w:gutter="0" w:footer="0" w:header="0"/>
        </w:sectPr>
      </w:pPr>
    </w:p>
    <w:bookmarkStart w:id="50" w:name="page51"/>
    <w:bookmarkEnd w:id="50"/>
    <w:p>
      <w:pPr>
        <w:ind w:firstLine="335"/>
        <w:spacing w:after="0" w:line="266" w:lineRule="auto"/>
        <w:rPr>
          <w:sz w:val="20"/>
          <w:szCs w:val="20"/>
          <w:color w:val="auto"/>
        </w:rPr>
      </w:pPr>
      <w:r>
        <w:rPr>
          <w:rFonts w:ascii="Times New Roman" w:cs="Times New Roman" w:eastAsia="Times New Roman" w:hAnsi="Times New Roman"/>
          <w:sz w:val="14"/>
          <w:szCs w:val="14"/>
          <w:color w:val="auto"/>
        </w:rPr>
        <w:t>A prospectus and the accompanying prospectus in electronic format may be made available on a website maintained by Jefferies, and Jefferies may distribute the prospectus and the accompanying prospectus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040"/>
          </w:cols>
          <w:pgMar w:left="300" w:top="1276" w:right="559" w:bottom="1440" w:gutter="0" w:footer="0" w:header="0"/>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1" w:lineRule="exact"/>
        <w:rPr>
          <w:sz w:val="20"/>
          <w:szCs w:val="20"/>
          <w:color w:val="auto"/>
        </w:rPr>
      </w:pPr>
    </w:p>
    <w:p>
      <w:pPr>
        <w:ind w:firstLine="335"/>
        <w:spacing w:after="0" w:line="235" w:lineRule="auto"/>
        <w:rPr>
          <w:sz w:val="20"/>
          <w:szCs w:val="20"/>
          <w:color w:val="auto"/>
        </w:rPr>
      </w:pPr>
      <w:r>
        <w:rPr>
          <w:rFonts w:ascii="Times New Roman" w:cs="Times New Roman" w:eastAsia="Times New Roman" w:hAnsi="Times New Roman"/>
          <w:sz w:val="14"/>
          <w:szCs w:val="14"/>
          <w:color w:val="auto"/>
        </w:rPr>
        <w:t>The validity of the ordinary shares offered by this prospectus will be passed upon for us by Walkers (Cayman) LLP. Certain matters with respect to U.S. federal and New York State law will be passed upon for us by Latham &amp; Watkins LLP. Jefferies LLC is being represented in connection with this offering by Cooley LLP, New York, New York.</w:t>
      </w: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1" w:lineRule="exact"/>
        <w:rPr>
          <w:sz w:val="20"/>
          <w:szCs w:val="20"/>
          <w:color w:val="auto"/>
        </w:rPr>
      </w:pPr>
    </w:p>
    <w:p>
      <w:pPr>
        <w:ind w:right="40" w:firstLine="335"/>
        <w:spacing w:after="0" w:line="266" w:lineRule="auto"/>
        <w:rPr>
          <w:sz w:val="20"/>
          <w:szCs w:val="20"/>
          <w:color w:val="auto"/>
        </w:rPr>
      </w:pPr>
      <w:r>
        <w:rPr>
          <w:rFonts w:ascii="Times New Roman" w:cs="Times New Roman" w:eastAsia="Times New Roman" w:hAnsi="Times New Roman"/>
          <w:sz w:val="14"/>
          <w:szCs w:val="14"/>
          <w:color w:val="auto"/>
        </w:rPr>
        <w:t>The financial statements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40"/>
          </w:cols>
          <w:pgMar w:left="300" w:top="1108" w:right="35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3090545</wp:posOffset>
            </wp:positionH>
            <wp:positionV relativeFrom="page">
              <wp:posOffset>1437005</wp:posOffset>
            </wp:positionV>
            <wp:extent cx="1374140" cy="508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74140" cy="508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Up to $200,000,000</w:t>
      </w:r>
    </w:p>
    <w:p>
      <w:pPr>
        <w:sectPr>
          <w:pgSz w:w="11900" w:h="16838" w:orient="portrait"/>
          <w:cols w:equalWidth="0" w:num="1">
            <w:col w:w="9019"/>
          </w:cols>
          <w:pgMar w:left="1440" w:top="1440" w:right="1440"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 2026</w:t>
      </w:r>
    </w:p>
    <w:p>
      <w:pPr>
        <w:sectPr>
          <w:pgSz w:w="11900" w:h="16838" w:orient="portrait"/>
          <w:cols w:equalWidth="0" w:num="1">
            <w:col w:w="9019"/>
          </w:cols>
          <w:pgMar w:left="1440" w:top="1440" w:right="1440" w:bottom="1440" w:gutter="0" w:footer="0" w:header="0"/>
          <w:type w:val="continuous"/>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213" w:lineRule="exact"/>
        <w:rPr>
          <w:sz w:val="20"/>
          <w:szCs w:val="20"/>
          <w:color w:val="auto"/>
        </w:rPr>
      </w:pPr>
    </w:p>
    <w:p>
      <w:pPr>
        <w:ind w:left="40"/>
        <w:spacing w:after="0"/>
        <w:tabs>
          <w:tab w:leader="none" w:pos="184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i w:val="1"/>
          <w:iCs w:val="1"/>
          <w:color w:val="auto"/>
        </w:rPr>
        <w:t>Other Expenses of Issuance and Distribution</w:t>
      </w:r>
    </w:p>
    <w:p>
      <w:pPr>
        <w:spacing w:after="0" w:line="192" w:lineRule="exact"/>
        <w:rPr>
          <w:sz w:val="20"/>
          <w:szCs w:val="20"/>
          <w:color w:val="auto"/>
        </w:rPr>
      </w:pPr>
    </w:p>
    <w:p>
      <w:pPr>
        <w:ind w:left="20" w:right="240" w:firstLine="335"/>
        <w:spacing w:after="0" w:line="266" w:lineRule="auto"/>
        <w:rPr>
          <w:sz w:val="20"/>
          <w:szCs w:val="20"/>
          <w:color w:val="auto"/>
        </w:rPr>
      </w:pPr>
      <w:r>
        <w:rPr>
          <w:rFonts w:ascii="Times New Roman" w:cs="Times New Roman" w:eastAsia="Times New Roman" w:hAnsi="Times New Roman"/>
          <w:sz w:val="14"/>
          <w:szCs w:val="14"/>
          <w:color w:val="auto"/>
        </w:rPr>
        <w:t>The following is an estimate of the expenses (all of which are to be paid by the registrant) that we may incur in connection with the securities being registered hereby. Each item listed is estimated, except for the SEC registration fee and Financial Industry Regulatory Authority, Inc. (“FINRA”) filing fee.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5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69,050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4"/>
                <w:szCs w:val="14"/>
                <w:color w:val="auto"/>
              </w:rPr>
              <w:t>FINRA filing fee</w:t>
            </w:r>
          </w:p>
        </w:tc>
        <w:tc>
          <w:tcPr>
            <w:tcW w:w="52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75,500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Transfer agent and trustee fees and expenses</w:t>
            </w: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9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5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w:t>
            </w: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9780" w:type="dxa"/>
            <w:vAlign w:val="bottom"/>
            <w:gridSpan w:val="2"/>
            <w:vMerge w:val="continue"/>
          </w:tcPr>
          <w:p>
            <w:pPr>
              <w:spacing w:after="0"/>
              <w:rPr>
                <w:sz w:val="19"/>
                <w:szCs w:val="19"/>
                <w:color w:val="auto"/>
              </w:rPr>
            </w:pPr>
          </w:p>
        </w:tc>
        <w:tc>
          <w:tcPr>
            <w:tcW w:w="5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420" w:hanging="384"/>
        <w:spacing w:after="0"/>
        <w:tabs>
          <w:tab w:leader="none" w:pos="4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389" w:lineRule="exact"/>
        <w:rPr>
          <w:sz w:val="20"/>
          <w:szCs w:val="20"/>
          <w:color w:val="auto"/>
        </w:rPr>
      </w:pPr>
    </w:p>
    <w:p>
      <w:pPr>
        <w:ind w:left="40"/>
        <w:spacing w:after="0"/>
        <w:tabs>
          <w:tab w:leader="none" w:pos="184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i w:val="1"/>
          <w:iCs w:val="1"/>
          <w:color w:val="auto"/>
        </w:rPr>
        <w:t>Indemnification of Directors and Officers</w:t>
      </w:r>
    </w:p>
    <w:p>
      <w:pPr>
        <w:spacing w:after="0" w:line="274" w:lineRule="exact"/>
        <w:rPr>
          <w:sz w:val="20"/>
          <w:szCs w:val="20"/>
          <w:color w:val="auto"/>
        </w:rPr>
      </w:pPr>
    </w:p>
    <w:p>
      <w:pPr>
        <w:ind w:left="20" w:right="60" w:firstLine="335"/>
        <w:spacing w:after="0" w:line="249" w:lineRule="auto"/>
        <w:rPr>
          <w:sz w:val="20"/>
          <w:szCs w:val="20"/>
          <w:color w:val="auto"/>
        </w:rPr>
      </w:pPr>
      <w:r>
        <w:rPr>
          <w:rFonts w:ascii="Times New Roman" w:cs="Times New Roman" w:eastAsia="Times New Roman" w:hAnsi="Times New Roman"/>
          <w:sz w:val="14"/>
          <w:szCs w:val="14"/>
          <w:color w:val="auto"/>
        </w:rPr>
        <w:t>Under Cayman Islands law, in most cases, a Cayman Islands exempted company will be the proper plaintiff in any claim based on a breach of duty owed to it, and a claim against (for example) a Cayman Islands exempted company’s directors or officers usually may not be brought by a shareholder. However, based on both Cayman Islands and English authorities, which would in all likelihood be of persuasive authority and be applied by a court in the Cayman Islands, exceptions to the foregoing principle apply in circumstances in which: a company is acting, or proposing to act, illegally or beyond the scope of its authority; the act complained of, although not beyond the scope of the authority, could only be effected if duly authorized by more than the number of votes which have actually been obtained; or those who control the company are perpetrating a “fraud on the minority.” In those instances, a shareholder may have a direct right of action against a Cayman Islands exempted company where the individual rights of that shareholder have been infringed or are about to be infringed.</w:t>
      </w:r>
    </w:p>
    <w:p>
      <w:pPr>
        <w:spacing w:after="0" w:line="147" w:lineRule="exact"/>
        <w:rPr>
          <w:sz w:val="20"/>
          <w:szCs w:val="20"/>
          <w:color w:val="auto"/>
        </w:rPr>
      </w:pPr>
    </w:p>
    <w:p>
      <w:pPr>
        <w:jc w:val="both"/>
        <w:ind w:left="20" w:right="240" w:firstLine="335"/>
        <w:spacing w:after="0" w:line="255" w:lineRule="auto"/>
        <w:rPr>
          <w:sz w:val="20"/>
          <w:szCs w:val="20"/>
          <w:color w:val="auto"/>
        </w:rPr>
      </w:pPr>
      <w:r>
        <w:rPr>
          <w:rFonts w:ascii="Times New Roman" w:cs="Times New Roman" w:eastAsia="Times New Roman" w:hAnsi="Times New Roman"/>
          <w:sz w:val="14"/>
          <w:szCs w:val="14"/>
          <w:color w:val="auto"/>
        </w:rPr>
        <w:t>The Companies Act does not restrict the authority of a Cayman Islands exempted company to indemnify its directors, officers, employees or agents, except to the extent any such provision may be held by the Cayman Islands courts to be contrary to public policy, such as to provide indemnification against willful default, willful neglect, actual fraud or the consequences of committing a crime. The Articles of Association provide for indemnification for every director and officer of the Company.</w:t>
      </w:r>
    </w:p>
    <w:p>
      <w:pPr>
        <w:spacing w:after="0" w:line="143" w:lineRule="exact"/>
        <w:rPr>
          <w:sz w:val="20"/>
          <w:szCs w:val="20"/>
          <w:color w:val="auto"/>
        </w:rPr>
      </w:pPr>
    </w:p>
    <w:p>
      <w:pPr>
        <w:ind w:left="20" w:right="220" w:firstLine="335"/>
        <w:spacing w:after="0" w:line="255" w:lineRule="auto"/>
        <w:rPr>
          <w:sz w:val="20"/>
          <w:szCs w:val="20"/>
          <w:color w:val="auto"/>
        </w:rPr>
      </w:pPr>
      <w:r>
        <w:rPr>
          <w:rFonts w:ascii="Times New Roman" w:cs="Times New Roman" w:eastAsia="Times New Roman" w:hAnsi="Times New Roman"/>
          <w:sz w:val="14"/>
          <w:szCs w:val="14"/>
          <w:color w:val="auto"/>
        </w:rPr>
        <w:t>Cayman Islands law does not restrict the authority of a Cayman Islands exempted company to advance expenses incurred by an officer or director in defending any civil, criminal, administrative or investigative action, suit or proceeding, but there is no statutory provision expressly requiring or governing advancement of expenses. Instead, the ability to advance expenses is typically addressed in a Cayman Islands exempted company’s articles of association. The Articles of Association provide for expense advancement provisions for indemnified persons.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w:t>
      </w:r>
    </w:p>
    <w:p>
      <w:pPr>
        <w:sectPr>
          <w:pgSz w:w="11900" w:h="16838" w:orient="portrait"/>
          <w:cols w:equalWidth="0" w:num="1">
            <w:col w:w="11300"/>
          </w:cols>
          <w:pgMar w:left="280" w:top="1272" w:right="319" w:bottom="1440" w:gutter="0" w:footer="0" w:header="0"/>
        </w:sectPr>
      </w:pPr>
    </w:p>
    <w:bookmarkStart w:id="54" w:name="page55"/>
    <w:bookmarkEnd w:id="54"/>
    <w:p>
      <w:pPr>
        <w:ind w:right="500" w:firstLine="335"/>
        <w:spacing w:after="0" w:line="266" w:lineRule="auto"/>
        <w:rPr>
          <w:sz w:val="20"/>
          <w:szCs w:val="20"/>
          <w:color w:val="auto"/>
        </w:rPr>
      </w:pPr>
      <w:r>
        <w:rPr>
          <w:rFonts w:ascii="Times New Roman" w:cs="Times New Roman" w:eastAsia="Times New Roman" w:hAnsi="Times New Roman"/>
          <w:sz w:val="14"/>
          <w:szCs w:val="14"/>
          <w:color w:val="auto"/>
        </w:rPr>
        <w:t>The Company has entered into indemnification agreements with each of its directors and executive officers that obligate us to indemnify, hold harmless, exonerate, and to advance expenses as incurred, to the fullest extent permitted under applicable law, from damage arising from the fact that such person is or was an officer or director of the Company or its subsidiaries.</w:t>
      </w:r>
    </w:p>
    <w:p>
      <w:pPr>
        <w:spacing w:after="0" w:line="136" w:lineRule="exact"/>
        <w:rPr>
          <w:sz w:val="20"/>
          <w:szCs w:val="20"/>
          <w:color w:val="auto"/>
        </w:rPr>
      </w:pPr>
    </w:p>
    <w:p>
      <w:pPr>
        <w:ind w:right="540" w:firstLine="335"/>
        <w:spacing w:after="0" w:line="266" w:lineRule="auto"/>
        <w:rPr>
          <w:sz w:val="20"/>
          <w:szCs w:val="20"/>
          <w:color w:val="auto"/>
        </w:rPr>
      </w:pPr>
      <w:r>
        <w:rPr>
          <w:rFonts w:ascii="Times New Roman" w:cs="Times New Roman" w:eastAsia="Times New Roman" w:hAnsi="Times New Roman"/>
          <w:sz w:val="14"/>
          <w:szCs w:val="14"/>
          <w:color w:val="auto"/>
        </w:rPr>
        <w:t>The Articles of Association also provide that the Company may maintain insurance to protect a director or an officer against liability. The Company has obtained insurance that covers certain liabilities of its directors and officers.</w:t>
      </w:r>
    </w:p>
    <w:p>
      <w:pPr>
        <w:spacing w:after="0" w:line="136" w:lineRule="exact"/>
        <w:rPr>
          <w:sz w:val="20"/>
          <w:szCs w:val="20"/>
          <w:color w:val="auto"/>
        </w:rPr>
      </w:pPr>
    </w:p>
    <w:p>
      <w:pPr>
        <w:ind w:right="440" w:firstLine="335"/>
        <w:spacing w:after="0" w:line="266" w:lineRule="auto"/>
        <w:rPr>
          <w:sz w:val="20"/>
          <w:szCs w:val="20"/>
          <w:color w:val="auto"/>
        </w:rPr>
      </w:pPr>
      <w:r>
        <w:rPr>
          <w:rFonts w:ascii="Times New Roman" w:cs="Times New Roman" w:eastAsia="Times New Roman" w:hAnsi="Times New Roman"/>
          <w:sz w:val="14"/>
          <w:szCs w:val="14"/>
          <w:color w:val="auto"/>
        </w:rPr>
        <w:t>The indemnification rights set forth above shall not be exclusive of any other right which an indemnified person may have or hereafter acquire under any statute, our articles of association, any agreement, any vote of shareholders or disinterested directors or otherwise.</w:t>
      </w:r>
    </w:p>
    <w:p>
      <w:pPr>
        <w:spacing w:after="0" w:line="136" w:lineRule="exact"/>
        <w:rPr>
          <w:sz w:val="20"/>
          <w:szCs w:val="20"/>
          <w:color w:val="auto"/>
        </w:rPr>
      </w:pPr>
    </w:p>
    <w:p>
      <w:pPr>
        <w:ind w:firstLine="335"/>
        <w:spacing w:after="0" w:line="250" w:lineRule="auto"/>
        <w:rPr>
          <w:sz w:val="20"/>
          <w:szCs w:val="20"/>
          <w:color w:val="auto"/>
        </w:rPr>
      </w:pPr>
      <w:r>
        <w:rPr>
          <w:rFonts w:ascii="Times New Roman" w:cs="Times New Roman" w:eastAsia="Times New Roman" w:hAnsi="Times New Roman"/>
          <w:sz w:val="14"/>
          <w:szCs w:val="14"/>
          <w:color w:val="auto"/>
        </w:rPr>
        <w:t>The Company’s indemnification obligations may discourage shareholders from bringing a lawsuit against its officers or directors for breach of their fiduciary duty. These provisions also may have the effect of reducing the likelihood of derivative litigation against the Company’s officers and directors, even though such an action, if successful, might otherwise benefit us and our shareholders. Furthermore, a shareholder’s investment may be adversely affected to the extent the Company pays the costs of settlement and damage awards against its officers and directors pursuant to these indemnification provisions. 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w:t>
      </w:r>
    </w:p>
    <w:p>
      <w:pPr>
        <w:sectPr>
          <w:pgSz w:w="11900" w:h="16838" w:orient="portrait"/>
          <w:cols w:equalWidth="0" w:num="1">
            <w:col w:w="11280"/>
          </w:cols>
          <w:pgMar w:left="300" w:top="1276" w:right="319" w:bottom="1440" w:gutter="0" w:footer="0" w:header="0"/>
        </w:sectPr>
      </w:pPr>
    </w:p>
    <w:bookmarkStart w:id="55" w:name="page56"/>
    <w:bookmarkEnd w:id="55"/>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650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Exhibits</w:t>
            </w:r>
          </w:p>
        </w:tc>
      </w:tr>
      <w:tr>
        <w:trPr>
          <w:trHeight w:val="249"/>
        </w:trPr>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6500" w:type="dxa"/>
            <w:vAlign w:val="bottom"/>
          </w:tcPr>
          <w:p>
            <w:pPr>
              <w:spacing w:after="0"/>
              <w:rPr>
                <w:sz w:val="21"/>
                <w:szCs w:val="21"/>
                <w:color w:val="auto"/>
              </w:rPr>
            </w:pPr>
          </w:p>
        </w:tc>
      </w:tr>
      <w:tr>
        <w:trPr>
          <w:trHeight w:val="163"/>
        </w:trPr>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80" w:type="dxa"/>
            <w:vAlign w:val="bottom"/>
          </w:tcPr>
          <w:p>
            <w:pPr>
              <w:spacing w:after="0"/>
              <w:rPr>
                <w:sz w:val="14"/>
                <w:szCs w:val="14"/>
                <w:color w:val="auto"/>
              </w:rPr>
            </w:pPr>
          </w:p>
        </w:tc>
        <w:tc>
          <w:tcPr>
            <w:tcW w:w="650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1"/>
                <w:szCs w:val="11"/>
                <w:b w:val="1"/>
                <w:bCs w:val="1"/>
                <w:color w:val="auto"/>
              </w:rPr>
              <w:t>Exhibit Description</w:t>
            </w:r>
          </w:p>
        </w:tc>
      </w:tr>
    </w:tbl>
    <w:p>
      <w:pPr>
        <w:spacing w:after="0" w:line="192" w:lineRule="exact"/>
        <w:rPr>
          <w:sz w:val="20"/>
          <w:szCs w:val="20"/>
          <w:color w:val="auto"/>
        </w:rPr>
      </w:pPr>
    </w:p>
    <w:p>
      <w:pPr>
        <w:ind w:left="280" w:hanging="68"/>
        <w:spacing w:after="0"/>
        <w:tabs>
          <w:tab w:leader="none" w:pos="2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1.1*Form of Underwriting Agreement</w:t>
      </w:r>
    </w:p>
    <w:p>
      <w:pPr>
        <w:spacing w:after="0" w:line="26" w:lineRule="exact"/>
        <w:rPr>
          <w:rFonts w:ascii="Times New Roman" w:cs="Times New Roman" w:eastAsia="Times New Roman" w:hAnsi="Times New Roman"/>
          <w:sz w:val="13"/>
          <w:szCs w:val="13"/>
          <w:color w:val="auto"/>
        </w:rPr>
      </w:pPr>
    </w:p>
    <w:p>
      <w:pPr>
        <w:ind w:left="2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1.2</w:t>
      </w:r>
      <w:r>
        <w:rPr>
          <w:rFonts w:ascii="Times New Roman" w:cs="Times New Roman" w:eastAsia="Times New Roman" w:hAnsi="Times New Roman"/>
          <w:sz w:val="13"/>
          <w:szCs w:val="13"/>
          <w:u w:val="single" w:color="auto"/>
          <w:color w:val="0000FF"/>
        </w:rPr>
        <w:t>Open Market Sale Agreement</w:t>
      </w:r>
      <w:r>
        <w:rPr>
          <w:rFonts w:ascii="Times New Roman" w:cs="Times New Roman" w:eastAsia="Times New Roman" w:hAnsi="Times New Roman"/>
          <w:sz w:val="16"/>
          <w:szCs w:val="16"/>
          <w:u w:val="single" w:color="auto"/>
          <w:color w:val="0000FF"/>
          <w:vertAlign w:val="superscript"/>
        </w:rPr>
        <w:t>SM</w:t>
      </w:r>
      <w:r>
        <w:rPr>
          <w:rFonts w:ascii="Times New Roman" w:cs="Times New Roman" w:eastAsia="Times New Roman" w:hAnsi="Times New Roman"/>
          <w:sz w:val="13"/>
          <w:szCs w:val="13"/>
          <w:u w:val="single" w:color="auto"/>
          <w:color w:val="0000FF"/>
        </w:rPr>
        <w:t>, dated July 1, 2026, by and between the Company and Jefferies LLC</w:t>
      </w:r>
    </w:p>
    <w:p>
      <w:pPr>
        <w:spacing w:after="0" w:line="71" w:lineRule="exact"/>
        <w:rPr>
          <w:rFonts w:ascii="Times New Roman" w:cs="Times New Roman" w:eastAsia="Times New Roman" w:hAnsi="Times New Roman"/>
          <w:sz w:val="13"/>
          <w:szCs w:val="13"/>
          <w:color w:val="auto"/>
        </w:rPr>
      </w:pPr>
    </w:p>
    <w:p>
      <w:pPr>
        <w:ind w:left="820" w:right="280" w:hanging="545"/>
        <w:spacing w:after="0" w:line="266"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2.1</w:t>
      </w:r>
      <w:hyperlink r:id="rId19">
        <w:r>
          <w:rPr>
            <w:rFonts w:ascii="Times New Roman" w:cs="Times New Roman" w:eastAsia="Times New Roman" w:hAnsi="Times New Roman"/>
            <w:sz w:val="14"/>
            <w:szCs w:val="14"/>
            <w:u w:val="single" w:color="auto"/>
            <w:color w:val="0000EE"/>
          </w:rPr>
          <w:t>Agreement and Plan of Merger and Reorganization, dated as of October 28, 2024, by and among GlycoMimetics,</w:t>
        </w:r>
      </w:hyperlink>
      <w:r>
        <w:rPr>
          <w:rFonts w:ascii="Times New Roman" w:cs="Times New Roman" w:eastAsia="Times New Roman" w:hAnsi="Times New Roman"/>
          <w:sz w:val="14"/>
          <w:szCs w:val="14"/>
          <w:u w:val="single" w:color="auto"/>
          <w:color w:val="0000EE"/>
        </w:rPr>
        <w:t xml:space="preserve"> </w:t>
      </w:r>
      <w:hyperlink r:id="rId19">
        <w:r>
          <w:rPr>
            <w:rFonts w:ascii="Times New Roman" w:cs="Times New Roman" w:eastAsia="Times New Roman" w:hAnsi="Times New Roman"/>
            <w:sz w:val="14"/>
            <w:szCs w:val="14"/>
            <w:u w:val="single" w:color="auto"/>
            <w:color w:val="0000EE"/>
          </w:rPr>
          <w:t>Inc., Gemini Merger Sub Corp., Gemini Merger Sub II, LLC, and Crescent Biopharma, Inc.</w:t>
        </w:r>
      </w:hyperlink>
    </w:p>
    <w:p>
      <w:pPr>
        <w:spacing w:after="0" w:line="53" w:lineRule="exact"/>
        <w:rPr>
          <w:rFonts w:ascii="Times New Roman" w:cs="Times New Roman" w:eastAsia="Times New Roman" w:hAnsi="Times New Roman"/>
          <w:sz w:val="14"/>
          <w:szCs w:val="14"/>
          <w:u w:val="single" w:color="auto"/>
          <w:color w:val="0000EE"/>
        </w:rPr>
      </w:pPr>
    </w:p>
    <w:p>
      <w:pPr>
        <w:ind w:left="280"/>
        <w:spacing w:after="0"/>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2.2</w:t>
      </w:r>
      <w:hyperlink r:id="rId20">
        <w:r>
          <w:rPr>
            <w:rFonts w:ascii="Times New Roman" w:cs="Times New Roman" w:eastAsia="Times New Roman" w:hAnsi="Times New Roman"/>
            <w:sz w:val="13"/>
            <w:szCs w:val="13"/>
            <w:u w:val="single" w:color="auto"/>
            <w:color w:val="0000EE"/>
          </w:rPr>
          <w:t>Amendment No. 1 to Agreement and Plan of Merger and Reorganization, dated as of February 14, 2025</w:t>
        </w:r>
      </w:hyperlink>
    </w:p>
    <w:p>
      <w:pPr>
        <w:spacing w:after="0" w:line="85" w:lineRule="exact"/>
        <w:rPr>
          <w:rFonts w:ascii="Times New Roman" w:cs="Times New Roman" w:eastAsia="Times New Roman" w:hAnsi="Times New Roman"/>
          <w:sz w:val="13"/>
          <w:szCs w:val="13"/>
          <w:u w:val="single" w:color="auto"/>
          <w:color w:val="0000EE"/>
        </w:rPr>
      </w:pPr>
    </w:p>
    <w:p>
      <w:pPr>
        <w:ind w:left="820" w:right="160" w:hanging="545"/>
        <w:spacing w:after="0" w:line="305" w:lineRule="auto"/>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2.3</w:t>
      </w:r>
      <w:hyperlink r:id="rId21">
        <w:r>
          <w:rPr>
            <w:rFonts w:ascii="Times New Roman" w:cs="Times New Roman" w:eastAsia="Times New Roman" w:hAnsi="Times New Roman"/>
            <w:sz w:val="13"/>
            <w:szCs w:val="13"/>
            <w:u w:val="single" w:color="auto"/>
            <w:color w:val="0000EE"/>
          </w:rPr>
          <w:t>Amendment No. 2 to Agreement and Plan of Merger and Reorganization, dated as of April 28, 2025, by and among</w:t>
        </w:r>
      </w:hyperlink>
      <w:r>
        <w:rPr>
          <w:rFonts w:ascii="Times New Roman" w:cs="Times New Roman" w:eastAsia="Times New Roman" w:hAnsi="Times New Roman"/>
          <w:sz w:val="13"/>
          <w:szCs w:val="13"/>
          <w:u w:val="single" w:color="auto"/>
          <w:color w:val="0000EE"/>
        </w:rPr>
        <w:t xml:space="preserve"> </w:t>
      </w:r>
      <w:hyperlink r:id="rId21">
        <w:r>
          <w:rPr>
            <w:rFonts w:ascii="Times New Roman" w:cs="Times New Roman" w:eastAsia="Times New Roman" w:hAnsi="Times New Roman"/>
            <w:sz w:val="13"/>
            <w:szCs w:val="13"/>
            <w:u w:val="single" w:color="auto"/>
            <w:color w:val="0000EE"/>
          </w:rPr>
          <w:t>GlycoMimetics, Inc., Gemini Merger Sub Corp., Gemini Merger Sub II, LLC, and Crescent Biopharma, Inc.</w:t>
        </w:r>
      </w:hyperlink>
    </w:p>
    <w:p>
      <w:pPr>
        <w:spacing w:after="0" w:line="30" w:lineRule="exact"/>
        <w:rPr>
          <w:rFonts w:ascii="Times New Roman" w:cs="Times New Roman" w:eastAsia="Times New Roman" w:hAnsi="Times New Roman"/>
          <w:sz w:val="13"/>
          <w:szCs w:val="13"/>
          <w:u w:val="single" w:color="auto"/>
          <w:color w:val="0000EE"/>
        </w:rPr>
      </w:pPr>
    </w:p>
    <w:p>
      <w:pPr>
        <w:ind w:left="280"/>
        <w:spacing w:after="0"/>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2.4</w:t>
      </w:r>
      <w:hyperlink r:id="rId22">
        <w:r>
          <w:rPr>
            <w:rFonts w:ascii="Times New Roman" w:cs="Times New Roman" w:eastAsia="Times New Roman" w:hAnsi="Times New Roman"/>
            <w:sz w:val="13"/>
            <w:szCs w:val="13"/>
            <w:u w:val="single" w:color="auto"/>
            <w:color w:val="0000EE"/>
          </w:rPr>
          <w:t>Plan of Conversion</w:t>
        </w:r>
      </w:hyperlink>
    </w:p>
    <w:p>
      <w:pPr>
        <w:spacing w:after="0" w:line="85" w:lineRule="exact"/>
        <w:rPr>
          <w:rFonts w:ascii="Times New Roman" w:cs="Times New Roman" w:eastAsia="Times New Roman" w:hAnsi="Times New Roman"/>
          <w:sz w:val="13"/>
          <w:szCs w:val="13"/>
          <w:u w:val="single" w:color="auto"/>
          <w:color w:val="0000EE"/>
        </w:rPr>
      </w:pPr>
    </w:p>
    <w:p>
      <w:pPr>
        <w:ind w:left="280"/>
        <w:spacing w:after="0"/>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3.1</w:t>
      </w:r>
      <w:hyperlink r:id="rId23">
        <w:r>
          <w:rPr>
            <w:rFonts w:ascii="Times New Roman" w:cs="Times New Roman" w:eastAsia="Times New Roman" w:hAnsi="Times New Roman"/>
            <w:sz w:val="13"/>
            <w:szCs w:val="13"/>
            <w:u w:val="single" w:color="auto"/>
            <w:color w:val="0000EE"/>
          </w:rPr>
          <w:t>Memorandum and Articles of Association</w:t>
        </w:r>
      </w:hyperlink>
    </w:p>
    <w:p>
      <w:pPr>
        <w:spacing w:after="0" w:line="85" w:lineRule="exact"/>
        <w:rPr>
          <w:rFonts w:ascii="Times New Roman" w:cs="Times New Roman" w:eastAsia="Times New Roman" w:hAnsi="Times New Roman"/>
          <w:sz w:val="13"/>
          <w:szCs w:val="13"/>
          <w:u w:val="single" w:color="auto"/>
          <w:color w:val="0000EE"/>
        </w:rPr>
      </w:pPr>
    </w:p>
    <w:p>
      <w:pPr>
        <w:ind w:left="820" w:right="380" w:hanging="545"/>
        <w:spacing w:after="0" w:line="266"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3.2</w:t>
      </w:r>
      <w:hyperlink r:id="rId24">
        <w:r>
          <w:rPr>
            <w:rFonts w:ascii="Times New Roman" w:cs="Times New Roman" w:eastAsia="Times New Roman" w:hAnsi="Times New Roman"/>
            <w:sz w:val="14"/>
            <w:szCs w:val="14"/>
            <w:u w:val="single" w:color="auto"/>
            <w:color w:val="0000EE"/>
          </w:rPr>
          <w:t>Certificate of Designation of Preferences, Rights and Limitations of Series A Non-Voting Convertible Preferred</w:t>
        </w:r>
      </w:hyperlink>
      <w:r>
        <w:rPr>
          <w:rFonts w:ascii="Times New Roman" w:cs="Times New Roman" w:eastAsia="Times New Roman" w:hAnsi="Times New Roman"/>
          <w:sz w:val="14"/>
          <w:szCs w:val="14"/>
          <w:u w:val="single" w:color="auto"/>
          <w:color w:val="0000EE"/>
        </w:rPr>
        <w:t xml:space="preserve"> </w:t>
      </w:r>
      <w:hyperlink r:id="rId24">
        <w:r>
          <w:rPr>
            <w:rFonts w:ascii="Times New Roman" w:cs="Times New Roman" w:eastAsia="Times New Roman" w:hAnsi="Times New Roman"/>
            <w:sz w:val="14"/>
            <w:szCs w:val="14"/>
            <w:u w:val="single" w:color="auto"/>
            <w:color w:val="0000EE"/>
          </w:rPr>
          <w:t>Shares</w:t>
        </w:r>
      </w:hyperlink>
    </w:p>
    <w:p>
      <w:pPr>
        <w:spacing w:after="0" w:line="53" w:lineRule="exact"/>
        <w:rPr>
          <w:rFonts w:ascii="Times New Roman" w:cs="Times New Roman" w:eastAsia="Times New Roman" w:hAnsi="Times New Roman"/>
          <w:sz w:val="14"/>
          <w:szCs w:val="14"/>
          <w:u w:val="single" w:color="auto"/>
          <w:color w:val="0000EE"/>
        </w:rPr>
      </w:pPr>
    </w:p>
    <w:p>
      <w:pPr>
        <w:ind w:left="280"/>
        <w:spacing w:after="0"/>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4.1</w:t>
      </w:r>
      <w:hyperlink r:id="rId25">
        <w:r>
          <w:rPr>
            <w:rFonts w:ascii="Times New Roman" w:cs="Times New Roman" w:eastAsia="Times New Roman" w:hAnsi="Times New Roman"/>
            <w:sz w:val="13"/>
            <w:szCs w:val="13"/>
            <w:u w:val="single" w:color="auto"/>
            <w:color w:val="0000EE"/>
          </w:rPr>
          <w:t>Form of Pre-Funded Warrant</w:t>
        </w:r>
      </w:hyperlink>
    </w:p>
    <w:p>
      <w:pPr>
        <w:spacing w:after="0" w:line="85" w:lineRule="exact"/>
        <w:rPr>
          <w:rFonts w:ascii="Times New Roman" w:cs="Times New Roman" w:eastAsia="Times New Roman" w:hAnsi="Times New Roman"/>
          <w:sz w:val="13"/>
          <w:szCs w:val="13"/>
          <w:u w:val="single" w:color="auto"/>
          <w:color w:val="0000EE"/>
        </w:rPr>
      </w:pPr>
    </w:p>
    <w:p>
      <w:pPr>
        <w:ind w:left="280"/>
        <w:spacing w:after="0"/>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4.2</w:t>
      </w:r>
      <w:hyperlink r:id="rId26">
        <w:r>
          <w:rPr>
            <w:rFonts w:ascii="Times New Roman" w:cs="Times New Roman" w:eastAsia="Times New Roman" w:hAnsi="Times New Roman"/>
            <w:sz w:val="13"/>
            <w:szCs w:val="13"/>
            <w:u w:val="single" w:color="auto"/>
            <w:color w:val="0000EE"/>
          </w:rPr>
          <w:t>Form of 2025 Pre-Funded Warrant</w:t>
        </w:r>
      </w:hyperlink>
    </w:p>
    <w:p>
      <w:pPr>
        <w:spacing w:after="0" w:line="85" w:lineRule="exact"/>
        <w:rPr>
          <w:rFonts w:ascii="Times New Roman" w:cs="Times New Roman" w:eastAsia="Times New Roman" w:hAnsi="Times New Roman"/>
          <w:sz w:val="13"/>
          <w:szCs w:val="13"/>
          <w:u w:val="single" w:color="auto"/>
          <w:color w:val="0000EE"/>
        </w:rPr>
      </w:pPr>
    </w:p>
    <w:p>
      <w:pPr>
        <w:ind w:left="280"/>
        <w:spacing w:after="0"/>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4.3</w:t>
      </w:r>
      <w:hyperlink r:id="rId16">
        <w:r>
          <w:rPr>
            <w:rFonts w:ascii="Times New Roman" w:cs="Times New Roman" w:eastAsia="Times New Roman" w:hAnsi="Times New Roman"/>
            <w:sz w:val="13"/>
            <w:szCs w:val="13"/>
            <w:u w:val="single" w:color="auto"/>
            <w:color w:val="0000EE"/>
          </w:rPr>
          <w:t>Description of Securities</w:t>
        </w:r>
      </w:hyperlink>
    </w:p>
    <w:p>
      <w:pPr>
        <w:spacing w:after="0" w:line="85" w:lineRule="exact"/>
        <w:rPr>
          <w:rFonts w:ascii="Times New Roman" w:cs="Times New Roman" w:eastAsia="Times New Roman" w:hAnsi="Times New Roman"/>
          <w:sz w:val="13"/>
          <w:szCs w:val="13"/>
          <w:u w:val="single" w:color="auto"/>
          <w:color w:val="0000EE"/>
        </w:rPr>
      </w:pPr>
    </w:p>
    <w:p>
      <w:pPr>
        <w:ind w:left="280"/>
        <w:spacing w:after="0"/>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4.4</w:t>
      </w:r>
      <w:hyperlink r:id="rId27">
        <w:r>
          <w:rPr>
            <w:rFonts w:ascii="Times New Roman" w:cs="Times New Roman" w:eastAsia="Times New Roman" w:hAnsi="Times New Roman"/>
            <w:sz w:val="13"/>
            <w:szCs w:val="13"/>
            <w:u w:val="single" w:color="auto"/>
            <w:color w:val="0000EE"/>
          </w:rPr>
          <w:t>Form of Warrant Agreement</w:t>
        </w:r>
      </w:hyperlink>
    </w:p>
    <w:p>
      <w:pPr>
        <w:spacing w:after="0" w:line="85" w:lineRule="exact"/>
        <w:rPr>
          <w:rFonts w:ascii="Times New Roman" w:cs="Times New Roman" w:eastAsia="Times New Roman" w:hAnsi="Times New Roman"/>
          <w:sz w:val="13"/>
          <w:szCs w:val="13"/>
          <w:u w:val="single" w:color="auto"/>
          <w:color w:val="0000EE"/>
        </w:rPr>
      </w:pPr>
    </w:p>
    <w:p>
      <w:pPr>
        <w:ind w:left="280"/>
        <w:spacing w:after="0"/>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4.5*</w:t>
      </w:r>
      <w:r>
        <w:rPr>
          <w:rFonts w:ascii="Times New Roman" w:cs="Times New Roman" w:eastAsia="Times New Roman" w:hAnsi="Times New Roman"/>
          <w:sz w:val="13"/>
          <w:szCs w:val="13"/>
          <w:color w:val="auto"/>
        </w:rPr>
        <w:t>Form of Preferred Shares Certificate</w:t>
      </w:r>
    </w:p>
    <w:p>
      <w:pPr>
        <w:spacing w:after="0" w:line="54" w:lineRule="exact"/>
        <w:rPr>
          <w:rFonts w:ascii="Times New Roman" w:cs="Times New Roman" w:eastAsia="Times New Roman" w:hAnsi="Times New Roman"/>
          <w:sz w:val="13"/>
          <w:szCs w:val="13"/>
          <w:u w:val="single" w:color="auto"/>
          <w:color w:val="0000EE"/>
        </w:rPr>
      </w:pPr>
    </w:p>
    <w:p>
      <w:pPr>
        <w:ind w:left="280"/>
        <w:spacing w:after="0"/>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4"/>
          <w:szCs w:val="14"/>
          <w:color w:val="auto"/>
        </w:rPr>
        <w:t>4.6</w:t>
      </w:r>
      <w:r>
        <w:rPr>
          <w:rFonts w:ascii="Times New Roman" w:cs="Times New Roman" w:eastAsia="Times New Roman" w:hAnsi="Times New Roman"/>
          <w:sz w:val="13"/>
          <w:szCs w:val="13"/>
          <w:u w:val="single" w:color="auto"/>
          <w:color w:val="0000EE"/>
        </w:rPr>
        <w:t>Form of Indenture</w:t>
      </w:r>
    </w:p>
    <w:p>
      <w:pPr>
        <w:spacing w:after="0" w:line="85" w:lineRule="exact"/>
        <w:rPr>
          <w:rFonts w:ascii="Times New Roman" w:cs="Times New Roman" w:eastAsia="Times New Roman" w:hAnsi="Times New Roman"/>
          <w:sz w:val="13"/>
          <w:szCs w:val="13"/>
          <w:u w:val="single" w:color="auto"/>
          <w:color w:val="0000EE"/>
        </w:rPr>
      </w:pPr>
    </w:p>
    <w:p>
      <w:pPr>
        <w:ind w:left="280" w:hanging="68"/>
        <w:spacing w:after="0"/>
        <w:tabs>
          <w:tab w:leader="none" w:pos="2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4.7*Form of Debt Security</w:t>
      </w:r>
    </w:p>
    <w:p>
      <w:pPr>
        <w:spacing w:after="0" w:line="65" w:lineRule="exact"/>
        <w:rPr>
          <w:rFonts w:ascii="Times New Roman" w:cs="Times New Roman" w:eastAsia="Times New Roman" w:hAnsi="Times New Roman"/>
          <w:sz w:val="13"/>
          <w:szCs w:val="13"/>
          <w:color w:val="auto"/>
        </w:rPr>
      </w:pPr>
    </w:p>
    <w:p>
      <w:pPr>
        <w:ind w:left="280" w:hanging="68"/>
        <w:spacing w:after="0"/>
        <w:tabs>
          <w:tab w:leader="none" w:pos="2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4.8*Form of Warrant</w:t>
      </w:r>
    </w:p>
    <w:p>
      <w:pPr>
        <w:spacing w:after="0" w:line="65" w:lineRule="exact"/>
        <w:rPr>
          <w:rFonts w:ascii="Times New Roman" w:cs="Times New Roman" w:eastAsia="Times New Roman" w:hAnsi="Times New Roman"/>
          <w:sz w:val="13"/>
          <w:szCs w:val="13"/>
          <w:color w:val="auto"/>
        </w:rPr>
      </w:pPr>
    </w:p>
    <w:p>
      <w:pPr>
        <w:ind w:left="280" w:hanging="68"/>
        <w:spacing w:after="0"/>
        <w:tabs>
          <w:tab w:leader="none" w:pos="2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4.9*Form of Warrant Agreement</w:t>
      </w:r>
    </w:p>
    <w:p>
      <w:pPr>
        <w:spacing w:after="0" w:line="66" w:lineRule="exact"/>
        <w:rPr>
          <w:rFonts w:ascii="Times New Roman" w:cs="Times New Roman" w:eastAsia="Times New Roman" w:hAnsi="Times New Roman"/>
          <w:sz w:val="13"/>
          <w:szCs w:val="13"/>
          <w:u w:val="single" w:color="auto"/>
          <w:color w:val="0000EE"/>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4.10*</w:t>
      </w:r>
      <w:r>
        <w:rPr>
          <w:sz w:val="20"/>
          <w:szCs w:val="20"/>
          <w:color w:val="auto"/>
        </w:rPr>
        <w:tab/>
      </w:r>
      <w:r>
        <w:rPr>
          <w:rFonts w:ascii="Times New Roman" w:cs="Times New Roman" w:eastAsia="Times New Roman" w:hAnsi="Times New Roman"/>
          <w:sz w:val="13"/>
          <w:szCs w:val="13"/>
          <w:color w:val="auto"/>
        </w:rPr>
        <w:t>Form of Unit Agreement</w:t>
      </w:r>
    </w:p>
    <w:p>
      <w:pPr>
        <w:spacing w:after="0" w:line="54" w:lineRule="exact"/>
        <w:rPr>
          <w:rFonts w:ascii="Times New Roman" w:cs="Times New Roman" w:eastAsia="Times New Roman" w:hAnsi="Times New Roman"/>
          <w:sz w:val="13"/>
          <w:szCs w:val="13"/>
          <w:u w:val="single" w:color="auto"/>
          <w:color w:val="0000EE"/>
        </w:rPr>
      </w:pPr>
    </w:p>
    <w:p>
      <w:pPr>
        <w:ind w:left="280"/>
        <w:spacing w:after="0"/>
        <w:tabs>
          <w:tab w:leader="none" w:pos="80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3"/>
          <w:szCs w:val="13"/>
          <w:u w:val="single" w:color="auto"/>
          <w:color w:val="0000FF"/>
        </w:rPr>
        <w:t>Opinion of Walkers (Cayman) LLP</w:t>
      </w:r>
    </w:p>
    <w:p>
      <w:pPr>
        <w:spacing w:after="0" w:line="85" w:lineRule="exact"/>
        <w:rPr>
          <w:rFonts w:ascii="Times New Roman" w:cs="Times New Roman" w:eastAsia="Times New Roman" w:hAnsi="Times New Roman"/>
          <w:sz w:val="13"/>
          <w:szCs w:val="13"/>
          <w:u w:val="single" w:color="auto"/>
          <w:color w:val="0000EE"/>
        </w:rPr>
      </w:pPr>
    </w:p>
    <w:p>
      <w:pPr>
        <w:ind w:left="280"/>
        <w:spacing w:after="0"/>
        <w:tabs>
          <w:tab w:leader="none" w:pos="800" w:val="left"/>
        </w:tabs>
        <w:rPr>
          <w:sz w:val="20"/>
          <w:szCs w:val="20"/>
          <w:color w:val="auto"/>
        </w:rPr>
      </w:pPr>
      <w:r>
        <w:rPr>
          <w:rFonts w:ascii="Times New Roman" w:cs="Times New Roman" w:eastAsia="Times New Roman" w:hAnsi="Times New Roman"/>
          <w:sz w:val="14"/>
          <w:szCs w:val="14"/>
          <w:color w:val="auto"/>
        </w:rPr>
        <w:t>5.2</w:t>
      </w:r>
      <w:r>
        <w:rPr>
          <w:sz w:val="20"/>
          <w:szCs w:val="20"/>
          <w:color w:val="auto"/>
        </w:rPr>
        <w:tab/>
      </w:r>
      <w:r>
        <w:rPr>
          <w:rFonts w:ascii="Times New Roman" w:cs="Times New Roman" w:eastAsia="Times New Roman" w:hAnsi="Times New Roman"/>
          <w:sz w:val="13"/>
          <w:szCs w:val="13"/>
          <w:u w:val="single" w:color="auto"/>
          <w:color w:val="0000FF"/>
        </w:rPr>
        <w:t>Opinion of Latham &amp; Watkins LLP</w:t>
      </w:r>
    </w:p>
    <w:p>
      <w:pPr>
        <w:spacing w:after="0" w:line="85" w:lineRule="exact"/>
        <w:rPr>
          <w:rFonts w:ascii="Times New Roman" w:cs="Times New Roman" w:eastAsia="Times New Roman" w:hAnsi="Times New Roman"/>
          <w:sz w:val="13"/>
          <w:szCs w:val="13"/>
          <w:u w:val="single" w:color="auto"/>
          <w:color w:val="0000EE"/>
        </w:rPr>
      </w:pPr>
    </w:p>
    <w:p>
      <w:pPr>
        <w:ind w:left="240"/>
        <w:spacing w:after="0"/>
        <w:tabs>
          <w:tab w:leader="none" w:pos="800" w:val="left"/>
        </w:tabs>
        <w:rPr>
          <w:sz w:val="20"/>
          <w:szCs w:val="20"/>
          <w:color w:val="auto"/>
        </w:rPr>
      </w:pPr>
      <w:r>
        <w:rPr>
          <w:rFonts w:ascii="Times New Roman" w:cs="Times New Roman" w:eastAsia="Times New Roman" w:hAnsi="Times New Roman"/>
          <w:sz w:val="14"/>
          <w:szCs w:val="14"/>
          <w:color w:val="auto"/>
        </w:rPr>
        <w:t>23.1</w:t>
      </w:r>
      <w:r>
        <w:rPr>
          <w:sz w:val="20"/>
          <w:szCs w:val="20"/>
          <w:color w:val="auto"/>
        </w:rPr>
        <w:tab/>
      </w:r>
      <w:r>
        <w:rPr>
          <w:rFonts w:ascii="Times New Roman" w:cs="Times New Roman" w:eastAsia="Times New Roman" w:hAnsi="Times New Roman"/>
          <w:sz w:val="13"/>
          <w:szCs w:val="13"/>
          <w:u w:val="single" w:color="auto"/>
          <w:color w:val="0000FF"/>
        </w:rPr>
        <w:t>Consent of PricewaterhouseCoopers LLP, independent registered public accounting firm</w:t>
      </w:r>
    </w:p>
    <w:p>
      <w:pPr>
        <w:spacing w:after="0" w:line="85" w:lineRule="exact"/>
        <w:rPr>
          <w:rFonts w:ascii="Times New Roman" w:cs="Times New Roman" w:eastAsia="Times New Roman" w:hAnsi="Times New Roman"/>
          <w:sz w:val="13"/>
          <w:szCs w:val="13"/>
          <w:u w:val="single" w:color="auto"/>
          <w:color w:val="0000EE"/>
        </w:rPr>
      </w:pPr>
    </w:p>
    <w:p>
      <w:pPr>
        <w:ind w:left="240"/>
        <w:spacing w:after="0"/>
        <w:tabs>
          <w:tab w:leader="none" w:pos="800" w:val="left"/>
        </w:tabs>
        <w:rPr>
          <w:sz w:val="20"/>
          <w:szCs w:val="20"/>
          <w:color w:val="auto"/>
        </w:rPr>
      </w:pPr>
      <w:r>
        <w:rPr>
          <w:rFonts w:ascii="Times New Roman" w:cs="Times New Roman" w:eastAsia="Times New Roman" w:hAnsi="Times New Roman"/>
          <w:sz w:val="14"/>
          <w:szCs w:val="14"/>
          <w:color w:val="auto"/>
        </w:rPr>
        <w:t>23.2</w:t>
      </w:r>
      <w:r>
        <w:rPr>
          <w:sz w:val="20"/>
          <w:szCs w:val="20"/>
          <w:color w:val="auto"/>
        </w:rPr>
        <w:tab/>
      </w:r>
      <w:r>
        <w:rPr>
          <w:rFonts w:ascii="Times New Roman" w:cs="Times New Roman" w:eastAsia="Times New Roman" w:hAnsi="Times New Roman"/>
          <w:sz w:val="13"/>
          <w:szCs w:val="13"/>
          <w:u w:val="single" w:color="auto"/>
          <w:color w:val="0000EE"/>
        </w:rPr>
        <w:t>Consent of Walkers (Cayman) LLP (included in Exhibit 5.1)</w:t>
      </w:r>
    </w:p>
    <w:p>
      <w:pPr>
        <w:spacing w:after="0" w:line="85" w:lineRule="exact"/>
        <w:rPr>
          <w:rFonts w:ascii="Times New Roman" w:cs="Times New Roman" w:eastAsia="Times New Roman" w:hAnsi="Times New Roman"/>
          <w:sz w:val="13"/>
          <w:szCs w:val="13"/>
          <w:u w:val="single" w:color="auto"/>
          <w:color w:val="0000EE"/>
        </w:rPr>
      </w:pPr>
    </w:p>
    <w:p>
      <w:pPr>
        <w:ind w:left="240"/>
        <w:spacing w:after="0"/>
        <w:tabs>
          <w:tab w:leader="none" w:pos="800" w:val="left"/>
        </w:tabs>
        <w:rPr>
          <w:sz w:val="20"/>
          <w:szCs w:val="20"/>
          <w:color w:val="auto"/>
        </w:rPr>
      </w:pPr>
      <w:r>
        <w:rPr>
          <w:rFonts w:ascii="Times New Roman" w:cs="Times New Roman" w:eastAsia="Times New Roman" w:hAnsi="Times New Roman"/>
          <w:sz w:val="14"/>
          <w:szCs w:val="14"/>
          <w:color w:val="auto"/>
        </w:rPr>
        <w:t>23.3</w:t>
      </w:r>
      <w:r>
        <w:rPr>
          <w:sz w:val="20"/>
          <w:szCs w:val="20"/>
          <w:color w:val="auto"/>
        </w:rPr>
        <w:tab/>
      </w:r>
      <w:r>
        <w:rPr>
          <w:rFonts w:ascii="Times New Roman" w:cs="Times New Roman" w:eastAsia="Times New Roman" w:hAnsi="Times New Roman"/>
          <w:sz w:val="13"/>
          <w:szCs w:val="13"/>
          <w:u w:val="single" w:color="auto"/>
          <w:color w:val="0000FF"/>
        </w:rPr>
        <w:t>Consent of Latham &amp; Watkins LLP (included in Exhibit 5.2)</w:t>
      </w:r>
    </w:p>
    <w:p>
      <w:pPr>
        <w:spacing w:after="0" w:line="85" w:lineRule="exact"/>
        <w:rPr>
          <w:rFonts w:ascii="Times New Roman" w:cs="Times New Roman" w:eastAsia="Times New Roman" w:hAnsi="Times New Roman"/>
          <w:sz w:val="13"/>
          <w:szCs w:val="13"/>
          <w:u w:val="single" w:color="auto"/>
          <w:color w:val="0000EE"/>
        </w:rPr>
      </w:pPr>
    </w:p>
    <w:p>
      <w:pPr>
        <w:ind w:left="240"/>
        <w:spacing w:after="0"/>
        <w:tabs>
          <w:tab w:leader="none" w:pos="800" w:val="left"/>
        </w:tabs>
        <w:rPr>
          <w:sz w:val="20"/>
          <w:szCs w:val="20"/>
          <w:color w:val="auto"/>
        </w:rPr>
      </w:pPr>
      <w:r>
        <w:rPr>
          <w:rFonts w:ascii="Times New Roman" w:cs="Times New Roman" w:eastAsia="Times New Roman" w:hAnsi="Times New Roman"/>
          <w:sz w:val="14"/>
          <w:szCs w:val="14"/>
          <w:color w:val="auto"/>
        </w:rPr>
        <w:t>24.1</w:t>
      </w:r>
      <w:r>
        <w:rPr>
          <w:sz w:val="20"/>
          <w:szCs w:val="20"/>
          <w:color w:val="auto"/>
        </w:rPr>
        <w:tab/>
      </w:r>
      <w:r>
        <w:rPr>
          <w:rFonts w:ascii="Times New Roman" w:cs="Times New Roman" w:eastAsia="Times New Roman" w:hAnsi="Times New Roman"/>
          <w:sz w:val="13"/>
          <w:szCs w:val="13"/>
          <w:u w:val="single" w:color="auto"/>
          <w:color w:val="0000EE"/>
        </w:rPr>
        <w:t>Power of Attorney (included on the signature page hereto)</w:t>
      </w:r>
    </w:p>
    <w:p>
      <w:pPr>
        <w:spacing w:after="0" w:line="85" w:lineRule="exact"/>
        <w:rPr>
          <w:rFonts w:ascii="Times New Roman" w:cs="Times New Roman" w:eastAsia="Times New Roman" w:hAnsi="Times New Roman"/>
          <w:sz w:val="13"/>
          <w:szCs w:val="13"/>
          <w:u w:val="single" w:color="auto"/>
          <w:color w:val="0000EE"/>
        </w:rPr>
      </w:pPr>
    </w:p>
    <w:p>
      <w:pPr>
        <w:ind w:left="220"/>
        <w:spacing w:after="0"/>
        <w:tabs>
          <w:tab w:leader="none" w:pos="800" w:val="left"/>
        </w:tabs>
        <w:rPr>
          <w:sz w:val="20"/>
          <w:szCs w:val="20"/>
          <w:color w:val="auto"/>
        </w:rPr>
      </w:pPr>
      <w:r>
        <w:rPr>
          <w:rFonts w:ascii="Times New Roman" w:cs="Times New Roman" w:eastAsia="Times New Roman" w:hAnsi="Times New Roman"/>
          <w:sz w:val="14"/>
          <w:szCs w:val="14"/>
          <w:color w:val="auto"/>
        </w:rPr>
        <w:t>25.1*</w:t>
      </w:r>
      <w:r>
        <w:rPr>
          <w:sz w:val="20"/>
          <w:szCs w:val="20"/>
          <w:color w:val="auto"/>
        </w:rPr>
        <w:tab/>
      </w:r>
      <w:r>
        <w:rPr>
          <w:rFonts w:ascii="Times New Roman" w:cs="Times New Roman" w:eastAsia="Times New Roman" w:hAnsi="Times New Roman"/>
          <w:sz w:val="13"/>
          <w:szCs w:val="13"/>
          <w:color w:val="auto"/>
        </w:rPr>
        <w:t>Statement of Eligibility of Trustee on Form T-1 under the Trust Indenture Act of 1939, as amended</w:t>
      </w:r>
    </w:p>
    <w:p>
      <w:pPr>
        <w:spacing w:after="0" w:line="65" w:lineRule="exact"/>
        <w:rPr>
          <w:rFonts w:ascii="Times New Roman" w:cs="Times New Roman" w:eastAsia="Times New Roman" w:hAnsi="Times New Roman"/>
          <w:sz w:val="13"/>
          <w:szCs w:val="13"/>
          <w:u w:val="single" w:color="auto"/>
          <w:color w:val="0000EE"/>
        </w:rPr>
      </w:pPr>
    </w:p>
    <w:p>
      <w:pPr>
        <w:ind w:left="820" w:hanging="556"/>
        <w:spacing w:after="0"/>
        <w:tabs>
          <w:tab w:leader="none" w:pos="8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20" w:lineRule="exact"/>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u w:val="single" w:color="auto"/>
          <w:color w:val="0000EE"/>
        </w:rPr>
        <w:br w:type="column"/>
      </w:r>
    </w:p>
    <w:p>
      <w:pPr>
        <w:spacing w:after="0" w:line="371" w:lineRule="exact"/>
        <w:rPr>
          <w:rFonts w:ascii="Times New Roman" w:cs="Times New Roman" w:eastAsia="Times New Roman" w:hAnsi="Times New Roman"/>
          <w:sz w:val="13"/>
          <w:szCs w:val="13"/>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126"/>
        </w:trPr>
        <w:tc>
          <w:tcPr>
            <w:tcW w:w="660" w:type="dxa"/>
            <w:vAlign w:val="bottom"/>
          </w:tcPr>
          <w:p>
            <w:pPr>
              <w:spacing w:after="0"/>
              <w:rPr>
                <w:sz w:val="11"/>
                <w:szCs w:val="11"/>
                <w:color w:val="auto"/>
              </w:rPr>
            </w:pPr>
          </w:p>
        </w:tc>
        <w:tc>
          <w:tcPr>
            <w:tcW w:w="1480" w:type="dxa"/>
            <w:vAlign w:val="bottom"/>
            <w:vMerge w:val="restart"/>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Filed</w:t>
            </w:r>
          </w:p>
        </w:tc>
        <w:tc>
          <w:tcPr>
            <w:tcW w:w="0" w:type="dxa"/>
            <w:vAlign w:val="bottom"/>
          </w:tcPr>
          <w:p>
            <w:pPr>
              <w:spacing w:after="0"/>
              <w:rPr>
                <w:sz w:val="1"/>
                <w:szCs w:val="1"/>
                <w:color w:val="auto"/>
              </w:rPr>
            </w:pPr>
          </w:p>
        </w:tc>
      </w:tr>
      <w:tr>
        <w:trPr>
          <w:trHeight w:val="148"/>
        </w:trPr>
        <w:tc>
          <w:tcPr>
            <w:tcW w:w="6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Herewith</w:t>
            </w:r>
          </w:p>
        </w:tc>
        <w:tc>
          <w:tcPr>
            <w:tcW w:w="0" w:type="dxa"/>
            <w:vAlign w:val="bottom"/>
          </w:tcPr>
          <w:p>
            <w:pPr>
              <w:spacing w:after="0"/>
              <w:rPr>
                <w:sz w:val="1"/>
                <w:szCs w:val="1"/>
                <w:color w:val="auto"/>
              </w:rPr>
            </w:pPr>
          </w:p>
        </w:tc>
      </w:tr>
      <w:tr>
        <w:trPr>
          <w:trHeight w:val="138"/>
        </w:trPr>
        <w:tc>
          <w:tcPr>
            <w:tcW w:w="66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480" w:type="dxa"/>
            <w:vAlign w:val="bottom"/>
          </w:tcPr>
          <w:p>
            <w:pPr>
              <w:jc w:val="right"/>
              <w:ind w:right="674"/>
              <w:spacing w:after="0"/>
              <w:rPr>
                <w:sz w:val="20"/>
                <w:szCs w:val="20"/>
                <w:color w:val="auto"/>
              </w:rPr>
            </w:pPr>
            <w:r>
              <w:rPr>
                <w:rFonts w:ascii="Times New Roman" w:cs="Times New Roman" w:eastAsia="Times New Roman" w:hAnsi="Times New Roman"/>
                <w:sz w:val="11"/>
                <w:szCs w:val="11"/>
                <w:b w:val="1"/>
                <w:bCs w:val="1"/>
                <w:color w:val="auto"/>
              </w:rPr>
              <w:t>Date</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0"/>
        </w:trPr>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15"/>
        </w:trPr>
        <w:tc>
          <w:tcPr>
            <w:tcW w:w="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8-K</w:t>
            </w: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10/29/2024</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8-K</w:t>
            </w: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02/14/2025</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8-K</w:t>
            </w: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04/29/2025</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0"/>
        </w:trPr>
        <w:tc>
          <w:tcPr>
            <w:tcW w:w="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8-K</w:t>
            </w: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06/18/2025</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8-K</w:t>
            </w: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06/18/2025</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8-K</w:t>
            </w: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06/18/2025</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0"/>
        </w:trPr>
        <w:tc>
          <w:tcPr>
            <w:tcW w:w="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8-K</w:t>
            </w: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06/18/2025</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8-K</w:t>
            </w: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12/04/2025</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10-K</w:t>
            </w: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02/26/2026</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10-K</w:t>
            </w: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02/26/2026</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7" w:lineRule="exact"/>
        <w:rPr>
          <w:rFonts w:ascii="Times New Roman" w:cs="Times New Roman" w:eastAsia="Times New Roman" w:hAnsi="Times New Roman"/>
          <w:sz w:val="13"/>
          <w:szCs w:val="13"/>
          <w:u w:val="single" w:color="auto"/>
          <w:color w:val="0000EE"/>
        </w:rPr>
      </w:pPr>
    </w:p>
    <w:p>
      <w:pPr>
        <w:ind w:left="344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rFonts w:ascii="Times New Roman" w:cs="Times New Roman" w:eastAsia="Times New Roman" w:hAnsi="Times New Roman"/>
          <w:sz w:val="13"/>
          <w:szCs w:val="13"/>
          <w:u w:val="single" w:color="auto"/>
          <w:color w:val="0000EE"/>
        </w:rPr>
      </w:pPr>
    </w:p>
    <w:p>
      <w:pPr>
        <w:spacing w:after="0" w:line="200" w:lineRule="exact"/>
        <w:rPr>
          <w:rFonts w:ascii="Times New Roman" w:cs="Times New Roman" w:eastAsia="Times New Roman" w:hAnsi="Times New Roman"/>
          <w:sz w:val="13"/>
          <w:szCs w:val="13"/>
          <w:u w:val="single" w:color="auto"/>
          <w:color w:val="0000EE"/>
        </w:rPr>
      </w:pPr>
    </w:p>
    <w:p>
      <w:pPr>
        <w:spacing w:after="0" w:line="200" w:lineRule="exact"/>
        <w:rPr>
          <w:rFonts w:ascii="Times New Roman" w:cs="Times New Roman" w:eastAsia="Times New Roman" w:hAnsi="Times New Roman"/>
          <w:sz w:val="13"/>
          <w:szCs w:val="13"/>
          <w:u w:val="single" w:color="auto"/>
          <w:color w:val="0000EE"/>
        </w:rPr>
      </w:pPr>
    </w:p>
    <w:p>
      <w:pPr>
        <w:spacing w:after="0" w:line="347" w:lineRule="exact"/>
        <w:rPr>
          <w:rFonts w:ascii="Times New Roman" w:cs="Times New Roman" w:eastAsia="Times New Roman" w:hAnsi="Times New Roman"/>
          <w:sz w:val="13"/>
          <w:szCs w:val="13"/>
          <w:u w:val="single" w:color="auto"/>
          <w:color w:val="0000EE"/>
        </w:rPr>
      </w:pPr>
    </w:p>
    <w:p>
      <w:pPr>
        <w:ind w:left="3440"/>
        <w:spacing w:after="0"/>
        <w:rPr>
          <w:sz w:val="20"/>
          <w:szCs w:val="20"/>
          <w:color w:val="auto"/>
        </w:rPr>
      </w:pPr>
      <w:r>
        <w:rPr>
          <w:rFonts w:ascii="Times New Roman" w:cs="Times New Roman" w:eastAsia="Times New Roman" w:hAnsi="Times New Roman"/>
          <w:sz w:val="14"/>
          <w:szCs w:val="14"/>
          <w:color w:val="auto"/>
        </w:rPr>
        <w:t>X</w:t>
      </w:r>
    </w:p>
    <w:p>
      <w:pPr>
        <w:spacing w:after="0" w:line="85" w:lineRule="exact"/>
        <w:rPr>
          <w:rFonts w:ascii="Times New Roman" w:cs="Times New Roman" w:eastAsia="Times New Roman" w:hAnsi="Times New Roman"/>
          <w:sz w:val="13"/>
          <w:szCs w:val="13"/>
          <w:u w:val="single" w:color="auto"/>
          <w:color w:val="0000EE"/>
        </w:rPr>
      </w:pPr>
    </w:p>
    <w:p>
      <w:pPr>
        <w:ind w:left="3440"/>
        <w:spacing w:after="0"/>
        <w:rPr>
          <w:sz w:val="20"/>
          <w:szCs w:val="20"/>
          <w:color w:val="auto"/>
        </w:rPr>
      </w:pPr>
      <w:r>
        <w:rPr>
          <w:rFonts w:ascii="Times New Roman" w:cs="Times New Roman" w:eastAsia="Times New Roman" w:hAnsi="Times New Roman"/>
          <w:sz w:val="14"/>
          <w:szCs w:val="14"/>
          <w:color w:val="auto"/>
        </w:rPr>
        <w:t>X</w:t>
      </w:r>
    </w:p>
    <w:p>
      <w:pPr>
        <w:spacing w:after="0" w:line="85" w:lineRule="exact"/>
        <w:rPr>
          <w:rFonts w:ascii="Times New Roman" w:cs="Times New Roman" w:eastAsia="Times New Roman" w:hAnsi="Times New Roman"/>
          <w:sz w:val="13"/>
          <w:szCs w:val="13"/>
          <w:u w:val="single" w:color="auto"/>
          <w:color w:val="0000EE"/>
        </w:rPr>
      </w:pPr>
    </w:p>
    <w:p>
      <w:pPr>
        <w:ind w:left="3440"/>
        <w:spacing w:after="0"/>
        <w:rPr>
          <w:sz w:val="20"/>
          <w:szCs w:val="20"/>
          <w:color w:val="auto"/>
        </w:rPr>
      </w:pPr>
      <w:r>
        <w:rPr>
          <w:rFonts w:ascii="Times New Roman" w:cs="Times New Roman" w:eastAsia="Times New Roman" w:hAnsi="Times New Roman"/>
          <w:sz w:val="14"/>
          <w:szCs w:val="14"/>
          <w:color w:val="auto"/>
        </w:rPr>
        <w:t>X</w:t>
      </w:r>
    </w:p>
    <w:p>
      <w:pPr>
        <w:spacing w:after="0" w:line="85" w:lineRule="exact"/>
        <w:rPr>
          <w:rFonts w:ascii="Times New Roman" w:cs="Times New Roman" w:eastAsia="Times New Roman" w:hAnsi="Times New Roman"/>
          <w:sz w:val="13"/>
          <w:szCs w:val="13"/>
          <w:u w:val="single" w:color="auto"/>
          <w:color w:val="0000EE"/>
        </w:rPr>
      </w:pPr>
    </w:p>
    <w:p>
      <w:pPr>
        <w:ind w:left="3440"/>
        <w:spacing w:after="0"/>
        <w:rPr>
          <w:sz w:val="20"/>
          <w:szCs w:val="20"/>
          <w:color w:val="auto"/>
        </w:rPr>
      </w:pPr>
      <w:r>
        <w:rPr>
          <w:rFonts w:ascii="Times New Roman" w:cs="Times New Roman" w:eastAsia="Times New Roman" w:hAnsi="Times New Roman"/>
          <w:sz w:val="14"/>
          <w:szCs w:val="14"/>
          <w:color w:val="auto"/>
        </w:rPr>
        <w:t>X</w:t>
      </w:r>
    </w:p>
    <w:p>
      <w:pPr>
        <w:spacing w:after="0" w:line="85" w:lineRule="exact"/>
        <w:rPr>
          <w:rFonts w:ascii="Times New Roman" w:cs="Times New Roman" w:eastAsia="Times New Roman" w:hAnsi="Times New Roman"/>
          <w:sz w:val="13"/>
          <w:szCs w:val="13"/>
          <w:u w:val="single" w:color="auto"/>
          <w:color w:val="0000EE"/>
        </w:rPr>
      </w:pPr>
    </w:p>
    <w:p>
      <w:pPr>
        <w:ind w:left="3440"/>
        <w:spacing w:after="0"/>
        <w:rPr>
          <w:sz w:val="20"/>
          <w:szCs w:val="20"/>
          <w:color w:val="auto"/>
        </w:rPr>
      </w:pPr>
      <w:r>
        <w:rPr>
          <w:rFonts w:ascii="Times New Roman" w:cs="Times New Roman" w:eastAsia="Times New Roman" w:hAnsi="Times New Roman"/>
          <w:sz w:val="14"/>
          <w:szCs w:val="14"/>
          <w:color w:val="auto"/>
        </w:rPr>
        <w:t>X</w:t>
      </w:r>
    </w:p>
    <w:p>
      <w:pPr>
        <w:spacing w:after="0" w:line="85" w:lineRule="exact"/>
        <w:rPr>
          <w:rFonts w:ascii="Times New Roman" w:cs="Times New Roman" w:eastAsia="Times New Roman" w:hAnsi="Times New Roman"/>
          <w:sz w:val="13"/>
          <w:szCs w:val="13"/>
          <w:u w:val="single" w:color="auto"/>
          <w:color w:val="0000EE"/>
        </w:rPr>
      </w:pPr>
    </w:p>
    <w:p>
      <w:pPr>
        <w:ind w:left="3440"/>
        <w:spacing w:after="0"/>
        <w:rPr>
          <w:sz w:val="20"/>
          <w:szCs w:val="20"/>
          <w:color w:val="auto"/>
        </w:rPr>
      </w:pPr>
      <w:r>
        <w:rPr>
          <w:rFonts w:ascii="Times New Roman" w:cs="Times New Roman" w:eastAsia="Times New Roman" w:hAnsi="Times New Roman"/>
          <w:sz w:val="14"/>
          <w:szCs w:val="14"/>
          <w:color w:val="auto"/>
        </w:rPr>
        <w:t>X</w:t>
      </w:r>
    </w:p>
    <w:p>
      <w:pPr>
        <w:spacing w:after="0" w:line="301" w:lineRule="exact"/>
        <w:rPr>
          <w:rFonts w:ascii="Times New Roman" w:cs="Times New Roman" w:eastAsia="Times New Roman" w:hAnsi="Times New Roman"/>
          <w:sz w:val="13"/>
          <w:szCs w:val="13"/>
          <w:u w:val="single" w:color="auto"/>
          <w:color w:val="0000EE"/>
        </w:rPr>
      </w:pPr>
    </w:p>
    <w:p>
      <w:pPr>
        <w:ind w:left="344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rFonts w:ascii="Times New Roman" w:cs="Times New Roman" w:eastAsia="Times New Roman" w:hAnsi="Times New Roman"/>
          <w:sz w:val="13"/>
          <w:szCs w:val="13"/>
          <w:u w:val="single" w:color="auto"/>
          <w:color w:val="0000EE"/>
        </w:rPr>
      </w:pPr>
    </w:p>
    <w:p>
      <w:pPr>
        <w:sectPr>
          <w:pgSz w:w="11900" w:h="16838" w:orient="portrait"/>
          <w:cols w:equalWidth="0" w:num="2">
            <w:col w:w="7320" w:space="80"/>
            <w:col w:w="3880"/>
          </w:cols>
          <w:pgMar w:left="300" w:top="1440" w:right="319" w:bottom="1440" w:gutter="0" w:footer="0" w:header="0"/>
        </w:sectPr>
      </w:pPr>
    </w:p>
    <w:p>
      <w:pPr>
        <w:spacing w:after="0" w:line="200" w:lineRule="exact"/>
        <w:rPr>
          <w:rFonts w:ascii="Times New Roman" w:cs="Times New Roman" w:eastAsia="Times New Roman" w:hAnsi="Times New Roman"/>
          <w:sz w:val="13"/>
          <w:szCs w:val="13"/>
          <w:u w:val="single" w:color="auto"/>
          <w:color w:val="0000EE"/>
        </w:rPr>
      </w:pPr>
    </w:p>
    <w:p>
      <w:pPr>
        <w:spacing w:after="0" w:line="200" w:lineRule="exact"/>
        <w:rPr>
          <w:rFonts w:ascii="Times New Roman" w:cs="Times New Roman" w:eastAsia="Times New Roman" w:hAnsi="Times New Roman"/>
          <w:sz w:val="13"/>
          <w:szCs w:val="13"/>
          <w:u w:val="single" w:color="auto"/>
          <w:color w:val="0000EE"/>
        </w:rPr>
      </w:pPr>
    </w:p>
    <w:p>
      <w:pPr>
        <w:spacing w:after="0" w:line="277" w:lineRule="exact"/>
        <w:rPr>
          <w:rFonts w:ascii="Times New Roman" w:cs="Times New Roman" w:eastAsia="Times New Roman" w:hAnsi="Times New Roman"/>
          <w:sz w:val="13"/>
          <w:szCs w:val="13"/>
          <w:u w:val="single" w:color="auto"/>
          <w:color w:val="0000EE"/>
        </w:rPr>
      </w:pPr>
    </w:p>
    <w:p>
      <w:pPr>
        <w:jc w:val="center"/>
        <w:ind w:right="-19"/>
        <w:spacing w:after="0"/>
        <w:rPr>
          <w:sz w:val="20"/>
          <w:szCs w:val="20"/>
          <w:color w:val="auto"/>
        </w:rPr>
      </w:pPr>
      <w:r>
        <w:rPr>
          <w:rFonts w:ascii="Times New Roman" w:cs="Times New Roman" w:eastAsia="Times New Roman" w:hAnsi="Times New Roman"/>
          <w:sz w:val="16"/>
          <w:szCs w:val="16"/>
          <w:color w:val="auto"/>
        </w:rPr>
        <w:t>iii</w:t>
      </w:r>
    </w:p>
    <w:p>
      <w:pPr>
        <w:sectPr>
          <w:pgSz w:w="11900" w:h="16838" w:orient="portrait"/>
          <w:cols w:equalWidth="0" w:num="1">
            <w:col w:w="11280"/>
          </w:cols>
          <w:pgMar w:left="300" w:top="1440" w:right="319" w:bottom="1440" w:gutter="0" w:footer="0" w:header="0"/>
          <w:type w:val="continuous"/>
        </w:sectPr>
      </w:pPr>
    </w:p>
    <w:bookmarkStart w:id="56" w:name="page57"/>
    <w:bookmarkEnd w:id="56"/>
    <w:p>
      <w:pPr>
        <w:ind w:left="20"/>
        <w:spacing w:after="0"/>
        <w:rPr>
          <w:sz w:val="20"/>
          <w:szCs w:val="20"/>
          <w:color w:val="auto"/>
        </w:rPr>
      </w:pPr>
      <w:r>
        <w:rPr>
          <w:rFonts w:ascii="Times New Roman" w:cs="Times New Roman" w:eastAsia="Times New Roman" w:hAnsi="Times New Roman"/>
          <w:sz w:val="14"/>
          <w:szCs w:val="14"/>
          <w:color w:val="auto"/>
        </w:rPr>
        <w:t>* If applicable, to be filed by amendment or by a report filed under the Exchange Act and incorporated herein by reference.</w:t>
      </w:r>
    </w:p>
    <w:p>
      <w:pPr>
        <w:spacing w:after="0" w:line="348" w:lineRule="exact"/>
        <w:rPr>
          <w:sz w:val="20"/>
          <w:szCs w:val="20"/>
          <w:color w:val="auto"/>
        </w:rPr>
      </w:pPr>
    </w:p>
    <w:p>
      <w:pPr>
        <w:ind w:left="20"/>
        <w:spacing w:after="0"/>
        <w:tabs>
          <w:tab w:leader="none" w:pos="182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i w:val="1"/>
          <w:iCs w:val="1"/>
          <w:color w:val="auto"/>
        </w:rPr>
        <w:t>Undertakings</w:t>
      </w:r>
    </w:p>
    <w:p>
      <w:pPr>
        <w:spacing w:after="0" w:line="192" w:lineRule="exact"/>
        <w:rPr>
          <w:sz w:val="20"/>
          <w:szCs w:val="20"/>
          <w:color w:val="auto"/>
        </w:rPr>
      </w:pPr>
    </w:p>
    <w:p>
      <w:pPr>
        <w:ind w:left="340" w:hanging="190"/>
        <w:spacing w:after="0"/>
        <w:tabs>
          <w:tab w:leader="none" w:pos="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85" w:lineRule="exact"/>
        <w:rPr>
          <w:rFonts w:ascii="Times New Roman" w:cs="Times New Roman" w:eastAsia="Times New Roman" w:hAnsi="Times New Roman"/>
          <w:sz w:val="14"/>
          <w:szCs w:val="14"/>
          <w:color w:val="auto"/>
        </w:rPr>
      </w:pPr>
    </w:p>
    <w:p>
      <w:pPr>
        <w:ind w:left="480" w:hanging="232"/>
        <w:spacing w:after="0"/>
        <w:tabs>
          <w:tab w:leader="none" w:pos="48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85" w:lineRule="exact"/>
        <w:rPr>
          <w:rFonts w:ascii="Times New Roman" w:cs="Times New Roman" w:eastAsia="Times New Roman" w:hAnsi="Times New Roman"/>
          <w:sz w:val="14"/>
          <w:szCs w:val="14"/>
          <w:color w:val="auto"/>
        </w:rPr>
      </w:pPr>
    </w:p>
    <w:p>
      <w:pPr>
        <w:ind w:left="740" w:hanging="246"/>
        <w:spacing w:after="0"/>
        <w:tabs>
          <w:tab w:leader="none" w:pos="740" w:val="left"/>
        </w:tabs>
        <w:numPr>
          <w:ilvl w:val="2"/>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85" w:lineRule="exact"/>
        <w:rPr>
          <w:rFonts w:ascii="Times New Roman" w:cs="Times New Roman" w:eastAsia="Times New Roman" w:hAnsi="Times New Roman"/>
          <w:sz w:val="14"/>
          <w:szCs w:val="14"/>
          <w:color w:val="auto"/>
        </w:rPr>
      </w:pPr>
    </w:p>
    <w:p>
      <w:pPr>
        <w:ind w:left="740" w:hanging="246"/>
        <w:spacing w:after="0" w:line="250" w:lineRule="auto"/>
        <w:tabs>
          <w:tab w:leader="none" w:pos="733" w:val="left"/>
        </w:tabs>
        <w:numPr>
          <w:ilvl w:val="2"/>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64" w:lineRule="exact"/>
        <w:rPr>
          <w:rFonts w:ascii="Times New Roman" w:cs="Times New Roman" w:eastAsia="Times New Roman" w:hAnsi="Times New Roman"/>
          <w:sz w:val="14"/>
          <w:szCs w:val="14"/>
          <w:color w:val="auto"/>
        </w:rPr>
      </w:pPr>
    </w:p>
    <w:p>
      <w:pPr>
        <w:ind w:left="740" w:right="120" w:hanging="246"/>
        <w:spacing w:after="0" w:line="266" w:lineRule="auto"/>
        <w:tabs>
          <w:tab w:leader="none" w:pos="740" w:val="left"/>
        </w:tabs>
        <w:numPr>
          <w:ilvl w:val="2"/>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4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(a)(1)(i), (a)(1)(ii) and (a)(1)(iii) above do not apply if the information required to be included in a post-effective amendment by those paragraphs is contained in reports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filed with or furnished to the Securities and Exchange Commission by the registrant pursuant to Section 13 or Section 15(d) of the Exchange Act that are incorporated by reference in the registration statement, or is contained in a form of prospectus filed pursuant to Rule 424(b) that is a part of the registration statement.</w:t>
      </w:r>
    </w:p>
    <w:p>
      <w:pPr>
        <w:spacing w:after="0" w:line="59" w:lineRule="exact"/>
        <w:rPr>
          <w:sz w:val="20"/>
          <w:szCs w:val="20"/>
          <w:color w:val="auto"/>
        </w:rPr>
      </w:pPr>
    </w:p>
    <w:p>
      <w:pPr>
        <w:ind w:left="500" w:right="80" w:hanging="252"/>
        <w:spacing w:after="0" w:line="266" w:lineRule="auto"/>
        <w:tabs>
          <w:tab w:leader="none" w:pos="49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53" w:lineRule="exact"/>
        <w:rPr>
          <w:rFonts w:ascii="Times New Roman" w:cs="Times New Roman" w:eastAsia="Times New Roman" w:hAnsi="Times New Roman"/>
          <w:sz w:val="14"/>
          <w:szCs w:val="14"/>
          <w:color w:val="auto"/>
        </w:rPr>
      </w:pPr>
    </w:p>
    <w:p>
      <w:pPr>
        <w:ind w:left="480" w:hanging="232"/>
        <w:spacing w:after="0"/>
        <w:tabs>
          <w:tab w:leader="none" w:pos="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85" w:lineRule="exact"/>
        <w:rPr>
          <w:rFonts w:ascii="Times New Roman" w:cs="Times New Roman" w:eastAsia="Times New Roman" w:hAnsi="Times New Roman"/>
          <w:sz w:val="14"/>
          <w:szCs w:val="14"/>
          <w:color w:val="auto"/>
        </w:rPr>
      </w:pPr>
    </w:p>
    <w:p>
      <w:pPr>
        <w:ind w:left="480" w:hanging="232"/>
        <w:spacing w:after="0"/>
        <w:tabs>
          <w:tab w:leader="none" w:pos="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85" w:lineRule="exact"/>
        <w:rPr>
          <w:rFonts w:ascii="Times New Roman" w:cs="Times New Roman" w:eastAsia="Times New Roman" w:hAnsi="Times New Roman"/>
          <w:sz w:val="14"/>
          <w:szCs w:val="14"/>
          <w:color w:val="auto"/>
        </w:rPr>
      </w:pPr>
    </w:p>
    <w:p>
      <w:pPr>
        <w:ind w:left="740" w:right="60" w:hanging="435"/>
        <w:spacing w:after="0" w:line="266" w:lineRule="auto"/>
        <w:tabs>
          <w:tab w:leader="none" w:pos="74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4"/>
          <w:szCs w:val="14"/>
          <w:color w:val="auto"/>
        </w:rPr>
      </w:pPr>
    </w:p>
    <w:p>
      <w:pPr>
        <w:ind w:left="740" w:hanging="428"/>
        <w:spacing w:after="0"/>
        <w:tabs>
          <w:tab w:leader="none" w:pos="740"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required to be filed pursuant to Rule 424(b)(2), (b)(5) or (b)(7) as part of a registration statement in reliance on Rule 430B relating to an offering made pursuant to Rule 415(a)</w:t>
      </w:r>
    </w:p>
    <w:p>
      <w:pPr>
        <w:spacing w:after="0" w:line="26" w:lineRule="exact"/>
        <w:rPr>
          <w:rFonts w:ascii="Times New Roman" w:cs="Times New Roman" w:eastAsia="Times New Roman" w:hAnsi="Times New Roman"/>
          <w:sz w:val="13"/>
          <w:szCs w:val="13"/>
          <w:color w:val="auto"/>
        </w:rPr>
      </w:pPr>
    </w:p>
    <w:p>
      <w:pPr>
        <w:ind w:left="740"/>
        <w:spacing w:after="0" w:line="24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 xml:space="preserve">(1)(i),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registration statement or prospectus that is part of the registration statement will, as to a purchaser with a time of contract of sale prior to such effective date, supersede or modify any statement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iv</w:t>
      </w:r>
    </w:p>
    <w:p>
      <w:pPr>
        <w:sectPr>
          <w:pgSz w:w="11900" w:h="16838" w:orient="portrait"/>
          <w:cols w:equalWidth="0" w:num="1">
            <w:col w:w="11260"/>
          </w:cols>
          <w:pgMar w:left="300" w:top="1327" w:right="339" w:bottom="1440" w:gutter="0" w:footer="0" w:header="0"/>
        </w:sectPr>
      </w:pPr>
    </w:p>
    <w:bookmarkStart w:id="57" w:name="page58"/>
    <w:bookmarkEnd w:id="57"/>
    <w:p>
      <w:pPr>
        <w:ind w:left="740"/>
        <w:spacing w:after="0"/>
        <w:rPr>
          <w:sz w:val="20"/>
          <w:szCs w:val="20"/>
          <w:color w:val="auto"/>
        </w:rPr>
      </w:pPr>
      <w:r>
        <w:rPr>
          <w:rFonts w:ascii="Times New Roman" w:cs="Times New Roman" w:eastAsia="Times New Roman" w:hAnsi="Times New Roman"/>
          <w:sz w:val="14"/>
          <w:szCs w:val="14"/>
          <w:color w:val="auto"/>
        </w:rPr>
        <w:t>that was made in the registration statement or prospectus that was part of the registration statement or made in any such document immediately prior to such effective date.</w:t>
      </w:r>
    </w:p>
    <w:p>
      <w:pPr>
        <w:spacing w:after="0" w:line="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(5) That, for the purpose of determining liability of the registrant under the Securities Act of 1933 to any purchaser in the initial distribution of the securities:</w:t>
      </w:r>
    </w:p>
    <w:p>
      <w:pPr>
        <w:spacing w:after="0" w:line="85" w:lineRule="exact"/>
        <w:rPr>
          <w:sz w:val="20"/>
          <w:szCs w:val="20"/>
          <w:color w:val="auto"/>
        </w:rPr>
      </w:pPr>
    </w:p>
    <w:p>
      <w:pPr>
        <w:ind w:right="40" w:firstLine="335"/>
        <w:spacing w:after="0" w:line="255" w:lineRule="auto"/>
        <w:rPr>
          <w:sz w:val="20"/>
          <w:szCs w:val="20"/>
          <w:color w:val="auto"/>
        </w:rPr>
      </w:pPr>
      <w:r>
        <w:rPr>
          <w:rFonts w:ascii="Times New Roman" w:cs="Times New Roman" w:eastAsia="Times New Roman" w:hAnsi="Times New Roman"/>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1" w:lineRule="exact"/>
        <w:rPr>
          <w:sz w:val="20"/>
          <w:szCs w:val="20"/>
          <w:color w:val="auto"/>
        </w:rPr>
      </w:pPr>
    </w:p>
    <w:p>
      <w:pPr>
        <w:ind w:left="740" w:hanging="246"/>
        <w:spacing w:after="0"/>
        <w:tabs>
          <w:tab w:leader="none" w:pos="74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85" w:lineRule="exact"/>
        <w:rPr>
          <w:rFonts w:ascii="Times New Roman" w:cs="Times New Roman" w:eastAsia="Times New Roman" w:hAnsi="Times New Roman"/>
          <w:sz w:val="14"/>
          <w:szCs w:val="14"/>
          <w:color w:val="auto"/>
        </w:rPr>
      </w:pPr>
    </w:p>
    <w:p>
      <w:pPr>
        <w:ind w:left="740" w:hanging="246"/>
        <w:spacing w:after="0"/>
        <w:tabs>
          <w:tab w:leader="none" w:pos="74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85" w:lineRule="exact"/>
        <w:rPr>
          <w:rFonts w:ascii="Times New Roman" w:cs="Times New Roman" w:eastAsia="Times New Roman" w:hAnsi="Times New Roman"/>
          <w:sz w:val="14"/>
          <w:szCs w:val="14"/>
          <w:color w:val="auto"/>
        </w:rPr>
      </w:pPr>
    </w:p>
    <w:p>
      <w:pPr>
        <w:ind w:left="740" w:right="480" w:hanging="246"/>
        <w:spacing w:after="0" w:line="266" w:lineRule="auto"/>
        <w:tabs>
          <w:tab w:leader="none" w:pos="74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4"/>
          <w:szCs w:val="14"/>
          <w:color w:val="auto"/>
        </w:rPr>
      </w:pPr>
    </w:p>
    <w:p>
      <w:pPr>
        <w:ind w:left="740" w:hanging="246"/>
        <w:spacing w:after="0"/>
        <w:tabs>
          <w:tab w:leader="none" w:pos="74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85" w:lineRule="exact"/>
        <w:rPr>
          <w:rFonts w:ascii="Times New Roman" w:cs="Times New Roman" w:eastAsia="Times New Roman" w:hAnsi="Times New Roman"/>
          <w:sz w:val="14"/>
          <w:szCs w:val="14"/>
          <w:color w:val="auto"/>
        </w:rPr>
      </w:pPr>
    </w:p>
    <w:p>
      <w:pPr>
        <w:ind w:right="160" w:firstLine="150"/>
        <w:spacing w:after="0" w:line="252" w:lineRule="auto"/>
        <w:tabs>
          <w:tab w:leader="none" w:pos="341"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undersigned registrant hereby undertakes that, for purposes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62" w:lineRule="exact"/>
        <w:rPr>
          <w:sz w:val="20"/>
          <w:szCs w:val="20"/>
          <w:color w:val="auto"/>
        </w:rPr>
      </w:pPr>
    </w:p>
    <w:p>
      <w:pPr>
        <w:ind w:firstLine="150"/>
        <w:spacing w:after="0" w:line="249" w:lineRule="auto"/>
        <w:tabs>
          <w:tab w:leader="none" w:pos="341"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65" w:lineRule="exact"/>
        <w:rPr>
          <w:sz w:val="20"/>
          <w:szCs w:val="20"/>
          <w:color w:val="auto"/>
        </w:rPr>
      </w:pPr>
    </w:p>
    <w:p>
      <w:pPr>
        <w:ind w:right="80" w:firstLine="150"/>
        <w:spacing w:after="0" w:line="266" w:lineRule="auto"/>
        <w:tabs>
          <w:tab w:leader="none" w:pos="311"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v</w:t>
      </w:r>
    </w:p>
    <w:p>
      <w:pPr>
        <w:sectPr>
          <w:pgSz w:w="11900" w:h="16838" w:orient="portrait"/>
          <w:cols w:equalWidth="0" w:num="1">
            <w:col w:w="11280"/>
          </w:cols>
          <w:pgMar w:left="300" w:top="1194" w:right="319" w:bottom="1440" w:gutter="0" w:footer="0" w:header="0"/>
        </w:sectPr>
      </w:pPr>
    </w:p>
    <w:bookmarkStart w:id="58" w:name="page59"/>
    <w:bookmarkEnd w:id="58"/>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1" w:lineRule="exact"/>
        <w:rPr>
          <w:sz w:val="20"/>
          <w:szCs w:val="20"/>
          <w:color w:val="auto"/>
        </w:rPr>
      </w:pPr>
    </w:p>
    <w:p>
      <w:pPr>
        <w:ind w:right="120" w:firstLine="335"/>
        <w:spacing w:after="0" w:line="26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Waltham, Commonwealth of Massachusetts, on July 1, 2026.</w:t>
      </w: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CRESCENT BIOPHARMA, INC.</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96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/s/ Joshua Brumm</w:t>
            </w:r>
          </w:p>
        </w:tc>
      </w:tr>
      <w:tr>
        <w:trPr>
          <w:trHeight w:val="163"/>
        </w:trPr>
        <w:tc>
          <w:tcPr>
            <w:tcW w:w="1380" w:type="dxa"/>
            <w:vAlign w:val="bottom"/>
          </w:tcPr>
          <w:p>
            <w:pPr>
              <w:spacing w:after="0"/>
              <w:rPr>
                <w:sz w:val="14"/>
                <w:szCs w:val="14"/>
                <w:color w:val="auto"/>
              </w:rPr>
            </w:pPr>
          </w:p>
        </w:tc>
        <w:tc>
          <w:tcPr>
            <w:tcW w:w="9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Joshua Brumm</w:t>
            </w:r>
          </w:p>
        </w:tc>
      </w:tr>
      <w:tr>
        <w:trPr>
          <w:trHeight w:val="176"/>
        </w:trPr>
        <w:tc>
          <w:tcPr>
            <w:tcW w:w="1380" w:type="dxa"/>
            <w:vAlign w:val="bottom"/>
          </w:tcPr>
          <w:p>
            <w:pPr>
              <w:spacing w:after="0"/>
              <w:rPr>
                <w:sz w:val="15"/>
                <w:szCs w:val="15"/>
                <w:color w:val="auto"/>
              </w:rPr>
            </w:pPr>
          </w:p>
        </w:tc>
        <w:tc>
          <w:tcPr>
            <w:tcW w:w="9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1" w:lineRule="exact"/>
        <w:rPr>
          <w:sz w:val="20"/>
          <w:szCs w:val="20"/>
          <w:color w:val="auto"/>
        </w:rPr>
      </w:pPr>
    </w:p>
    <w:p>
      <w:pPr>
        <w:ind w:right="20" w:firstLine="335"/>
        <w:spacing w:after="0" w:line="249" w:lineRule="auto"/>
        <w:rPr>
          <w:sz w:val="20"/>
          <w:szCs w:val="20"/>
          <w:color w:val="auto"/>
        </w:rPr>
      </w:pPr>
      <w:r>
        <w:rPr>
          <w:rFonts w:ascii="Times New Roman" w:cs="Times New Roman" w:eastAsia="Times New Roman" w:hAnsi="Times New Roman"/>
          <w:sz w:val="14"/>
          <w:szCs w:val="14"/>
          <w:color w:val="auto"/>
        </w:rPr>
        <w:t>Each person whose signature appears below constitutes and appoints Joshua Brumm and Richard Scalzo as his or her true and lawful attorneys-in-fact and agents,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47" w:lineRule="exact"/>
        <w:rPr>
          <w:sz w:val="20"/>
          <w:szCs w:val="20"/>
          <w:color w:val="auto"/>
        </w:rPr>
      </w:pPr>
    </w:p>
    <w:p>
      <w:pPr>
        <w:ind w:firstLine="335"/>
        <w:spacing w:after="0" w:line="26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on behalf of the registrant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vi</w:t>
      </w:r>
    </w:p>
    <w:p>
      <w:pPr>
        <w:sectPr>
          <w:pgSz w:w="11900" w:h="16838" w:orient="portrait"/>
          <w:cols w:equalWidth="0" w:num="1">
            <w:col w:w="11280"/>
          </w:cols>
          <w:pgMar w:left="300" w:top="1440" w:right="319" w:bottom="1440" w:gutter="0" w:footer="0" w:header="0"/>
        </w:sectPr>
      </w:pPr>
    </w:p>
    <w:bookmarkStart w:id="59" w:name="page60"/>
    <w:bookmarkEnd w:id="59"/>
    <w:p>
      <w:pPr>
        <w:ind w:left="128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12700</wp:posOffset>
            </wp:positionV>
            <wp:extent cx="20193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extLst>
                    </a:blip>
                    <a:srcRect/>
                    <a:stretch>
                      <a:fillRect/>
                    </a:stretch>
                  </pic:blipFill>
                  <pic:spPr bwMode="auto">
                    <a:xfrm>
                      <a:off x="0" y="0"/>
                      <a:ext cx="2019300" cy="635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Joshua Brumm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22860</wp:posOffset>
            </wp:positionV>
            <wp:extent cx="20193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extLst>
                    </a:blip>
                    <a:srcRect/>
                    <a:stretch>
                      <a:fillRect/>
                    </a:stretch>
                  </pic:blipFill>
                  <pic:spPr bwMode="auto">
                    <a:xfrm>
                      <a:off x="0" y="0"/>
                      <a:ext cx="2019300" cy="6350"/>
                    </a:xfrm>
                    <a:prstGeom prst="rect">
                      <a:avLst/>
                    </a:prstGeom>
                    <a:noFill/>
                  </pic:spPr>
                </pic:pic>
              </a:graphicData>
            </a:graphic>
          </wp:anchor>
        </w:drawing>
      </w:r>
    </w:p>
    <w:p>
      <w:pPr>
        <w:spacing w:after="0" w:line="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Joshua Brumm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Richard Scalzo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10160</wp:posOffset>
            </wp:positionV>
            <wp:extent cx="20193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extLst>
                    </a:blip>
                    <a:srcRect/>
                    <a:stretch>
                      <a:fillRect/>
                    </a:stretch>
                  </pic:blipFill>
                  <pic:spPr bwMode="auto">
                    <a:xfrm>
                      <a:off x="0" y="0"/>
                      <a:ext cx="2019300" cy="6350"/>
                    </a:xfrm>
                    <a:prstGeom prst="rect">
                      <a:avLst/>
                    </a:prstGeom>
                    <a:noFill/>
                  </pic:spPr>
                </pic:pic>
              </a:graphicData>
            </a:graphic>
          </wp:anchor>
        </w:drawing>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Richard Scalzo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Ryan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10160</wp:posOffset>
            </wp:positionV>
            <wp:extent cx="20193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extLst>
                    </a:blip>
                    <a:srcRect/>
                    <a:stretch>
                      <a:fillRect/>
                    </a:stretch>
                  </pic:blipFill>
                  <pic:spPr bwMode="auto">
                    <a:xfrm>
                      <a:off x="0" y="0"/>
                      <a:ext cx="2019300" cy="6350"/>
                    </a:xfrm>
                    <a:prstGeom prst="rect">
                      <a:avLst/>
                    </a:prstGeom>
                    <a:noFill/>
                  </pic:spPr>
                </pic:pic>
              </a:graphicData>
            </a:graphic>
          </wp:anchor>
        </w:drawing>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Ryan Lynch</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Peter Harwin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10160</wp:posOffset>
            </wp:positionV>
            <wp:extent cx="20193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extLst>
                    </a:blip>
                    <a:srcRect/>
                    <a:stretch>
                      <a:fillRect/>
                    </a:stretch>
                  </pic:blipFill>
                  <pic:spPr bwMode="auto">
                    <a:xfrm>
                      <a:off x="0" y="0"/>
                      <a:ext cx="2019300" cy="6350"/>
                    </a:xfrm>
                    <a:prstGeom prst="rect">
                      <a:avLst/>
                    </a:prstGeom>
                    <a:noFill/>
                  </pic:spPr>
                </pic:pic>
              </a:graphicData>
            </a:graphic>
          </wp:anchor>
        </w:drawing>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Peter Harwin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Alexandra Balcom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10160</wp:posOffset>
            </wp:positionV>
            <wp:extent cx="20193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extLst>
                    </a:blip>
                    <a:srcRect/>
                    <a:stretch>
                      <a:fillRect/>
                    </a:stretch>
                  </pic:blipFill>
                  <pic:spPr bwMode="auto">
                    <a:xfrm>
                      <a:off x="0" y="0"/>
                      <a:ext cx="2019300" cy="6350"/>
                    </a:xfrm>
                    <a:prstGeom prst="rect">
                      <a:avLst/>
                    </a:prstGeom>
                    <a:noFill/>
                  </pic:spPr>
                </pic:pic>
              </a:graphicData>
            </a:graphic>
          </wp:anchor>
        </w:drawing>
      </w:r>
    </w:p>
    <w:p>
      <w:pPr>
        <w:spacing w:after="0" w:line="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Alexandra Balcom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David Lubner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10160</wp:posOffset>
            </wp:positionV>
            <wp:extent cx="20193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extLst>
                    </a:blip>
                    <a:srcRect/>
                    <a:stretch>
                      <a:fillRect/>
                    </a:stretch>
                  </pic:blipFill>
                  <pic:spPr bwMode="auto">
                    <a:xfrm>
                      <a:off x="0" y="0"/>
                      <a:ext cx="2019300" cy="6350"/>
                    </a:xfrm>
                    <a:prstGeom prst="rect">
                      <a:avLst/>
                    </a:prstGeom>
                    <a:noFill/>
                  </pic:spPr>
                </pic:pic>
              </a:graphicData>
            </a:graphic>
          </wp:anchor>
        </w:drawing>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David Lubner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Susan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10160</wp:posOffset>
            </wp:positionV>
            <wp:extent cx="20193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extLst>
                    </a:blip>
                    <a:srcRect/>
                    <a:stretch>
                      <a:fillRect/>
                    </a:stretch>
                  </pic:blipFill>
                  <pic:spPr bwMode="auto">
                    <a:xfrm>
                      <a:off x="0" y="0"/>
                      <a:ext cx="2019300" cy="6350"/>
                    </a:xfrm>
                    <a:prstGeom prst="rect">
                      <a:avLst/>
                    </a:prstGeom>
                    <a:noFill/>
                  </pic:spPr>
                </pic:pic>
              </a:graphicData>
            </a:graphic>
          </wp:anchor>
        </w:drawing>
      </w:r>
    </w:p>
    <w:p>
      <w:pPr>
        <w:spacing w:after="0" w:line="4"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4"/>
          <w:szCs w:val="14"/>
          <w:color w:val="auto"/>
        </w:rPr>
        <w:t>Susan Moran, M.D., MSCE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Jonathan Violin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10160</wp:posOffset>
            </wp:positionV>
            <wp:extent cx="20193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2019300" cy="6350"/>
                    </a:xfrm>
                    <a:prstGeom prst="rect">
                      <a:avLst/>
                    </a:prstGeom>
                    <a:noFill/>
                  </pic:spPr>
                </pic:pic>
              </a:graphicData>
            </a:graphic>
          </wp:anchor>
        </w:drawing>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Jonathan Violin, Ph.D.</w:t>
      </w:r>
    </w:p>
    <w:p>
      <w:pPr>
        <w:spacing w:after="0" w:line="20" w:lineRule="exact"/>
        <w:rPr>
          <w:sz w:val="20"/>
          <w:szCs w:val="20"/>
          <w:color w:val="auto"/>
        </w:rPr>
      </w:pPr>
      <w:r>
        <w:rPr>
          <w:sz w:val="20"/>
          <w:szCs w:val="20"/>
          <w:color w:val="auto"/>
        </w:rPr>
        <w:br w:type="column"/>
      </w:r>
    </w:p>
    <w:p>
      <w:pPr>
        <w:ind w:left="190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12700</wp:posOffset>
            </wp:positionV>
            <wp:extent cx="363474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3634740" cy="6350"/>
                    </a:xfrm>
                    <a:prstGeom prst="rect">
                      <a:avLst/>
                    </a:prstGeom>
                    <a:noFill/>
                  </pic:spPr>
                </pic:pic>
              </a:graphicData>
            </a:graphic>
          </wp:anchor>
        </w:drawing>
      </w:r>
    </w:p>
    <w:p>
      <w:pPr>
        <w:spacing w:after="0" w:line="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Director and Chief Executive Officer</w:t>
      </w:r>
    </w:p>
    <w:p>
      <w:pPr>
        <w:spacing w:after="0" w:line="1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3"/>
          <w:szCs w:val="13"/>
          <w:color w:val="auto"/>
        </w:rPr>
        <w:t>Treasurer, Senior Vice President of Finance and Chief Accounting Officer</w:t>
      </w:r>
    </w:p>
    <w:p>
      <w:pPr>
        <w:spacing w:after="0" w:line="2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accounting officer</w:t>
      </w:r>
      <w:r>
        <w:rPr>
          <w:rFonts w:ascii="Times New Roman" w:cs="Times New Roman" w:eastAsia="Times New Roman" w:hAnsi="Times New Roman"/>
          <w:sz w:val="14"/>
          <w:szCs w:val="14"/>
          <w:color w:val="auto"/>
        </w:rPr>
        <w:t>)</w:t>
      </w:r>
    </w:p>
    <w:p>
      <w:pPr>
        <w:spacing w:after="0" w:line="2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Chair and Director</w:t>
      </w:r>
    </w:p>
    <w:p>
      <w:pPr>
        <w:spacing w:after="0" w:line="31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Director</w:t>
      </w:r>
    </w:p>
    <w:p>
      <w:pPr>
        <w:spacing w:after="0" w:line="31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Director</w:t>
      </w:r>
    </w:p>
    <w:p>
      <w:pPr>
        <w:spacing w:after="0" w:line="31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Director</w:t>
      </w:r>
    </w:p>
    <w:p>
      <w:pPr>
        <w:spacing w:after="0" w:line="31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vii</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12700</wp:posOffset>
            </wp:positionV>
            <wp:extent cx="12700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1270000" cy="63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July 1, 2026</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July 1, 2026</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July 1, 2026</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July 1, 2026</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July 1, 2026</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July 1, 2026</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July 1, 2026</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July 1, 2026</w:t>
      </w:r>
    </w:p>
    <w:p>
      <w:pPr>
        <w:sectPr>
          <w:pgSz w:w="11900" w:h="16838" w:orient="portrait"/>
          <w:cols w:equalWidth="0" w:num="3">
            <w:col w:w="3360" w:space="720"/>
            <w:col w:w="4920" w:space="720"/>
            <w:col w:w="660"/>
          </w:cols>
          <w:pgMar w:left="320" w:top="1138" w:right="1199" w:bottom="1440" w:gutter="0" w:footer="0" w:header="0"/>
        </w:sectPr>
      </w:pPr>
    </w:p>
    <w:bookmarkStart w:id="60" w:name="page61"/>
    <w:bookmarkEnd w:id="60"/>
    <w:p>
      <w:pPr>
        <w:ind w:left="3540"/>
        <w:spacing w:after="0"/>
        <w:rPr>
          <w:sz w:val="20"/>
          <w:szCs w:val="20"/>
          <w:color w:val="auto"/>
        </w:rPr>
      </w:pPr>
      <w:r>
        <w:rPr>
          <w:rFonts w:ascii="Arial" w:cs="Arial" w:eastAsia="Arial" w:hAnsi="Arial"/>
          <w:sz w:val="27"/>
          <w:szCs w:val="27"/>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100" w:lineRule="exact"/>
        <w:rPr>
          <w:sz w:val="20"/>
          <w:szCs w:val="20"/>
          <w:color w:val="auto"/>
        </w:rPr>
      </w:pPr>
    </w:p>
    <w:p>
      <w:pPr>
        <w:jc w:val="center"/>
        <w:ind w:right="200"/>
        <w:spacing w:after="0"/>
        <w:rPr>
          <w:sz w:val="20"/>
          <w:szCs w:val="20"/>
          <w:color w:val="auto"/>
        </w:rPr>
      </w:pPr>
      <w:r>
        <w:rPr>
          <w:rFonts w:ascii="Arial" w:cs="Arial" w:eastAsia="Arial" w:hAnsi="Arial"/>
          <w:sz w:val="27"/>
          <w:szCs w:val="27"/>
          <w:b w:val="1"/>
          <w:bCs w:val="1"/>
          <w:color w:val="auto"/>
        </w:rPr>
        <w:t>CRESCENT BIOPHARMA, INC.</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4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8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2"/>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880" w:type="dxa"/>
            <w:vAlign w:val="bottom"/>
          </w:tcPr>
          <w:p>
            <w:pPr>
              <w:spacing w:after="0"/>
              <w:rPr>
                <w:sz w:val="16"/>
                <w:szCs w:val="16"/>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Proposed</w:t>
            </w: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165"/>
        </w:trPr>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Maximum</w:t>
            </w:r>
          </w:p>
        </w:tc>
        <w:tc>
          <w:tcPr>
            <w:tcW w:w="1820" w:type="dxa"/>
            <w:vAlign w:val="bottom"/>
            <w:vMerge w:val="restart"/>
          </w:tcPr>
          <w:p>
            <w:pPr>
              <w:jc w:val="center"/>
              <w:ind w:left="718"/>
              <w:spacing w:after="0"/>
              <w:rPr>
                <w:sz w:val="20"/>
                <w:szCs w:val="20"/>
                <w:color w:val="auto"/>
              </w:rPr>
            </w:pPr>
            <w:r>
              <w:rPr>
                <w:rFonts w:ascii="Arial" w:cs="Arial" w:eastAsia="Arial" w:hAnsi="Arial"/>
                <w:sz w:val="16"/>
                <w:szCs w:val="16"/>
                <w:b w:val="1"/>
                <w:bCs w:val="1"/>
                <w:color w:val="auto"/>
              </w:rPr>
              <w:t>Amount of</w:t>
            </w:r>
          </w:p>
        </w:tc>
        <w:tc>
          <w:tcPr>
            <w:tcW w:w="6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7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720" w:type="dxa"/>
            <w:vAlign w:val="bottom"/>
            <w:vMerge w:val="continue"/>
          </w:tcPr>
          <w:p>
            <w:pPr>
              <w:spacing w:after="0"/>
              <w:rPr>
                <w:sz w:val="14"/>
                <w:szCs w:val="14"/>
                <w:color w:val="auto"/>
              </w:rPr>
            </w:pPr>
          </w:p>
        </w:tc>
        <w:tc>
          <w:tcPr>
            <w:tcW w:w="9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12"/>
        </w:trPr>
        <w:tc>
          <w:tcPr>
            <w:tcW w:w="1840" w:type="dxa"/>
            <w:vAlign w:val="bottom"/>
            <w:vMerge w:val="restart"/>
          </w:tcPr>
          <w:p>
            <w:pPr>
              <w:jc w:val="center"/>
              <w:ind w:left="903"/>
              <w:spacing w:after="0"/>
              <w:rPr>
                <w:sz w:val="20"/>
                <w:szCs w:val="20"/>
                <w:color w:val="auto"/>
              </w:rPr>
            </w:pPr>
            <w:r>
              <w:rPr>
                <w:rFonts w:ascii="Arial" w:cs="Arial" w:eastAsia="Arial" w:hAnsi="Arial"/>
                <w:sz w:val="16"/>
                <w:szCs w:val="16"/>
                <w:b w:val="1"/>
                <w:bCs w:val="1"/>
                <w:color w:val="auto"/>
              </w:rPr>
              <w:t>Security</w:t>
            </w:r>
          </w:p>
        </w:tc>
        <w:tc>
          <w:tcPr>
            <w:tcW w:w="1740" w:type="dxa"/>
            <w:vAlign w:val="bottom"/>
            <w:gridSpan w:val="2"/>
          </w:tcPr>
          <w:p>
            <w:pPr>
              <w:ind w:left="80"/>
              <w:spacing w:after="0" w:line="113" w:lineRule="exact"/>
              <w:rPr>
                <w:sz w:val="20"/>
                <w:szCs w:val="20"/>
                <w:color w:val="auto"/>
              </w:rPr>
            </w:pPr>
            <w:r>
              <w:rPr>
                <w:rFonts w:ascii="Arial" w:cs="Arial" w:eastAsia="Arial" w:hAnsi="Arial"/>
                <w:sz w:val="13"/>
                <w:szCs w:val="13"/>
                <w:b w:val="1"/>
                <w:bCs w:val="1"/>
                <w:color w:val="auto"/>
              </w:rPr>
              <w:t>Security Calculation</w:t>
            </w: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Amount</w:t>
            </w:r>
          </w:p>
        </w:tc>
        <w:tc>
          <w:tcPr>
            <w:tcW w:w="8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Maximum</w:t>
            </w:r>
          </w:p>
        </w:tc>
        <w:tc>
          <w:tcPr>
            <w:tcW w:w="11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Forward Forward</w:t>
            </w:r>
          </w:p>
        </w:tc>
        <w:tc>
          <w:tcPr>
            <w:tcW w:w="7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Forward</w:t>
            </w: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65"/>
        </w:trPr>
        <w:tc>
          <w:tcPr>
            <w:tcW w:w="1840" w:type="dxa"/>
            <w:vAlign w:val="bottom"/>
            <w:vMerge w:val="continue"/>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Class</w:t>
            </w:r>
          </w:p>
        </w:tc>
        <w:tc>
          <w:tcPr>
            <w:tcW w:w="9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or Carry</w:t>
            </w:r>
          </w:p>
        </w:tc>
        <w:tc>
          <w:tcPr>
            <w:tcW w:w="880" w:type="dxa"/>
            <w:vAlign w:val="bottom"/>
            <w:vMerge w:val="continue"/>
          </w:tcPr>
          <w:p>
            <w:pPr>
              <w:spacing w:after="0"/>
              <w:rPr>
                <w:sz w:val="14"/>
                <w:szCs w:val="14"/>
                <w:color w:val="auto"/>
              </w:rPr>
            </w:pPr>
          </w:p>
        </w:tc>
        <w:tc>
          <w:tcPr>
            <w:tcW w:w="8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Offering</w:t>
            </w:r>
          </w:p>
        </w:tc>
        <w:tc>
          <w:tcPr>
            <w:tcW w:w="11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Aggregate</w:t>
            </w:r>
          </w:p>
        </w:tc>
        <w:tc>
          <w:tcPr>
            <w:tcW w:w="1820" w:type="dxa"/>
            <w:vAlign w:val="bottom"/>
          </w:tcPr>
          <w:p>
            <w:pPr>
              <w:ind w:left="60"/>
              <w:spacing w:after="0" w:line="165" w:lineRule="exact"/>
              <w:rPr>
                <w:sz w:val="20"/>
                <w:szCs w:val="20"/>
                <w:color w:val="auto"/>
              </w:rPr>
            </w:pPr>
            <w:r>
              <w:rPr>
                <w:rFonts w:ascii="Arial" w:cs="Arial" w:eastAsia="Arial" w:hAnsi="Arial"/>
                <w:sz w:val="16"/>
                <w:szCs w:val="16"/>
                <w:b w:val="1"/>
                <w:bCs w:val="1"/>
                <w:color w:val="auto"/>
              </w:rPr>
              <w:t>Fee Rate Registration</w:t>
            </w:r>
          </w:p>
        </w:tc>
        <w:tc>
          <w:tcPr>
            <w:tcW w:w="1400" w:type="dxa"/>
            <w:vAlign w:val="bottom"/>
            <w:gridSpan w:val="2"/>
            <w:vMerge w:val="continue"/>
          </w:tcPr>
          <w:p>
            <w:pPr>
              <w:spacing w:after="0"/>
              <w:rPr>
                <w:sz w:val="14"/>
                <w:szCs w:val="14"/>
                <w:color w:val="auto"/>
              </w:rPr>
            </w:pPr>
          </w:p>
        </w:tc>
        <w:tc>
          <w:tcPr>
            <w:tcW w:w="7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Initial</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840" w:type="dxa"/>
            <w:vAlign w:val="bottom"/>
          </w:tcPr>
          <w:p>
            <w:pPr>
              <w:jc w:val="center"/>
              <w:ind w:left="903"/>
              <w:spacing w:after="0" w:line="113" w:lineRule="exact"/>
              <w:rPr>
                <w:sz w:val="20"/>
                <w:szCs w:val="20"/>
                <w:color w:val="auto"/>
              </w:rPr>
            </w:pPr>
            <w:r>
              <w:rPr>
                <w:rFonts w:ascii="Arial" w:cs="Arial" w:eastAsia="Arial" w:hAnsi="Arial"/>
                <w:sz w:val="13"/>
                <w:szCs w:val="13"/>
                <w:b w:val="1"/>
                <w:bCs w:val="1"/>
                <w:color w:val="auto"/>
              </w:rPr>
              <w:t>Type</w:t>
            </w: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Title</w:t>
            </w: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Forward</w:t>
            </w:r>
          </w:p>
        </w:tc>
        <w:tc>
          <w:tcPr>
            <w:tcW w:w="8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Registered</w:t>
            </w: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Price Per</w:t>
            </w: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Offering Price</w:t>
            </w:r>
          </w:p>
        </w:tc>
        <w:tc>
          <w:tcPr>
            <w:tcW w:w="1820" w:type="dxa"/>
            <w:vAlign w:val="bottom"/>
            <w:vMerge w:val="restart"/>
          </w:tcPr>
          <w:p>
            <w:pPr>
              <w:jc w:val="center"/>
              <w:ind w:left="738"/>
              <w:spacing w:after="0"/>
              <w:rPr>
                <w:sz w:val="20"/>
                <w:szCs w:val="20"/>
                <w:color w:val="auto"/>
              </w:rPr>
            </w:pPr>
            <w:r>
              <w:rPr>
                <w:rFonts w:ascii="Arial" w:cs="Arial" w:eastAsia="Arial" w:hAnsi="Arial"/>
                <w:sz w:val="16"/>
                <w:szCs w:val="16"/>
                <w:b w:val="1"/>
                <w:bCs w:val="1"/>
                <w:color w:val="auto"/>
              </w:rPr>
              <w:t>Fee</w:t>
            </w:r>
          </w:p>
        </w:tc>
        <w:tc>
          <w:tcPr>
            <w:tcW w:w="64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Form</w:t>
            </w:r>
          </w:p>
        </w:tc>
        <w:tc>
          <w:tcPr>
            <w:tcW w:w="7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File</w:t>
            </w: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Effective</w:t>
            </w:r>
          </w:p>
        </w:tc>
        <w:tc>
          <w:tcPr>
            <w:tcW w:w="9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Unsold</w:t>
            </w:r>
          </w:p>
        </w:tc>
        <w:tc>
          <w:tcPr>
            <w:tcW w:w="0" w:type="dxa"/>
            <w:vAlign w:val="bottom"/>
          </w:tcPr>
          <w:p>
            <w:pPr>
              <w:spacing w:after="0"/>
              <w:rPr>
                <w:sz w:val="1"/>
                <w:szCs w:val="1"/>
                <w:color w:val="auto"/>
              </w:rPr>
            </w:pPr>
          </w:p>
        </w:tc>
      </w:tr>
      <w:tr>
        <w:trPr>
          <w:trHeight w:val="165"/>
        </w:trPr>
        <w:tc>
          <w:tcPr>
            <w:tcW w:w="18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6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Type</w:t>
            </w:r>
          </w:p>
        </w:tc>
        <w:tc>
          <w:tcPr>
            <w:tcW w:w="7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Number</w:t>
            </w:r>
          </w:p>
        </w:tc>
        <w:tc>
          <w:tcPr>
            <w:tcW w:w="720" w:type="dxa"/>
            <w:vAlign w:val="bottom"/>
            <w:vMerge w:val="continue"/>
          </w:tcPr>
          <w:p>
            <w:pPr>
              <w:spacing w:after="0"/>
              <w:rPr>
                <w:sz w:val="14"/>
                <w:szCs w:val="14"/>
                <w:color w:val="auto"/>
              </w:rPr>
            </w:pPr>
          </w:p>
        </w:tc>
        <w:tc>
          <w:tcPr>
            <w:tcW w:w="9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36"/>
        </w:trPr>
        <w:tc>
          <w:tcPr>
            <w:tcW w:w="1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Rule</w:t>
            </w:r>
          </w:p>
        </w:tc>
        <w:tc>
          <w:tcPr>
            <w:tcW w:w="880" w:type="dxa"/>
            <w:vAlign w:val="bottom"/>
          </w:tcPr>
          <w:p>
            <w:pPr>
              <w:spacing w:after="0"/>
              <w:rPr>
                <w:sz w:val="3"/>
                <w:szCs w:val="3"/>
                <w:color w:val="auto"/>
              </w:rPr>
            </w:pPr>
          </w:p>
        </w:tc>
        <w:tc>
          <w:tcPr>
            <w:tcW w:w="82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Unit</w:t>
            </w:r>
          </w:p>
        </w:tc>
        <w:tc>
          <w:tcPr>
            <w:tcW w:w="11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Date</w:t>
            </w: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-845820</wp:posOffset>
            </wp:positionV>
            <wp:extent cx="7215505" cy="511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7215505" cy="5113020"/>
                    </a:xfrm>
                    <a:prstGeom prst="rect">
                      <a:avLst/>
                    </a:prstGeom>
                    <a:noFill/>
                  </pic:spPr>
                </pic:pic>
              </a:graphicData>
            </a:graphic>
          </wp:anchor>
        </w:drawing>
      </w:r>
    </w:p>
    <w:p>
      <w:pPr>
        <w:jc w:val="center"/>
        <w:ind w:left="10460"/>
        <w:spacing w:after="0"/>
        <w:rPr>
          <w:sz w:val="20"/>
          <w:szCs w:val="20"/>
          <w:color w:val="auto"/>
        </w:rPr>
      </w:pPr>
      <w:r>
        <w:rPr>
          <w:rFonts w:ascii="Arial" w:cs="Arial" w:eastAsia="Arial" w:hAnsi="Arial"/>
          <w:sz w:val="16"/>
          <w:szCs w:val="16"/>
          <w:b w:val="1"/>
          <w:bCs w:val="1"/>
          <w:color w:val="auto"/>
        </w:rPr>
        <w:t>to be</w:t>
      </w:r>
    </w:p>
    <w:p>
      <w:pPr>
        <w:spacing w:after="0" w:line="1" w:lineRule="exact"/>
        <w:rPr>
          <w:sz w:val="20"/>
          <w:szCs w:val="20"/>
          <w:color w:val="auto"/>
        </w:rPr>
      </w:pPr>
    </w:p>
    <w:p>
      <w:pPr>
        <w:jc w:val="center"/>
        <w:ind w:left="10460"/>
        <w:spacing w:after="0"/>
        <w:rPr>
          <w:sz w:val="20"/>
          <w:szCs w:val="20"/>
          <w:color w:val="auto"/>
        </w:rPr>
      </w:pPr>
      <w:r>
        <w:rPr>
          <w:rFonts w:ascii="Arial" w:cs="Arial" w:eastAsia="Arial" w:hAnsi="Arial"/>
          <w:sz w:val="16"/>
          <w:szCs w:val="16"/>
          <w:b w:val="1"/>
          <w:bCs w:val="1"/>
          <w:color w:val="auto"/>
        </w:rPr>
        <w:t>Carried</w:t>
      </w:r>
    </w:p>
    <w:p>
      <w:pPr>
        <w:spacing w:after="0" w:line="1" w:lineRule="exact"/>
        <w:rPr>
          <w:sz w:val="20"/>
          <w:szCs w:val="20"/>
          <w:color w:val="auto"/>
        </w:rPr>
      </w:pPr>
    </w:p>
    <w:p>
      <w:pPr>
        <w:jc w:val="center"/>
        <w:ind w:left="10460"/>
        <w:spacing w:after="0"/>
        <w:rPr>
          <w:sz w:val="20"/>
          <w:szCs w:val="20"/>
          <w:color w:val="auto"/>
        </w:rPr>
      </w:pPr>
      <w:r>
        <w:rPr>
          <w:rFonts w:ascii="Arial" w:cs="Arial" w:eastAsia="Arial" w:hAnsi="Arial"/>
          <w:sz w:val="16"/>
          <w:szCs w:val="16"/>
          <w:b w:val="1"/>
          <w:bCs w:val="1"/>
          <w:color w:val="auto"/>
        </w:rPr>
        <w:t>Forward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Newly Registered Securities</w:t>
      </w:r>
    </w:p>
    <w:p>
      <w:pPr>
        <w:spacing w:after="0" w:line="4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Ordinary</w:t>
      </w:r>
    </w:p>
    <w:p>
      <w:pPr>
        <w:spacing w:after="0" w:line="17"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Shares,</w:t>
      </w:r>
    </w:p>
    <w:p>
      <w:pPr>
        <w:spacing w:after="0" w:line="1" w:lineRule="exact"/>
        <w:rPr>
          <w:sz w:val="20"/>
          <w:szCs w:val="20"/>
          <w:color w:val="auto"/>
        </w:rPr>
      </w:pPr>
    </w:p>
    <w:p>
      <w:pPr>
        <w:ind w:left="1180"/>
        <w:spacing w:after="0"/>
        <w:tabs>
          <w:tab w:leader="none" w:pos="1860" w:val="left"/>
          <w:tab w:leader="none" w:pos="2840" w:val="left"/>
        </w:tabs>
        <w:rPr>
          <w:sz w:val="20"/>
          <w:szCs w:val="20"/>
          <w:color w:val="auto"/>
        </w:rPr>
      </w:pPr>
      <w:r>
        <w:rPr>
          <w:rFonts w:ascii="Arial" w:cs="Arial" w:eastAsia="Arial" w:hAnsi="Arial"/>
          <w:sz w:val="16"/>
          <w:szCs w:val="16"/>
          <w:color w:val="auto"/>
        </w:rPr>
        <w:t>Equity</w:t>
        <w:tab/>
        <w:t>$0.001</w:t>
      </w:r>
      <w:r>
        <w:rPr>
          <w:sz w:val="20"/>
          <w:szCs w:val="20"/>
          <w:color w:val="auto"/>
        </w:rPr>
        <w:tab/>
      </w:r>
      <w:r>
        <w:rPr>
          <w:rFonts w:ascii="Arial" w:cs="Arial" w:eastAsia="Arial" w:hAnsi="Arial"/>
          <w:sz w:val="16"/>
          <w:szCs w:val="16"/>
          <w:color w:val="auto"/>
        </w:rPr>
        <w:t>457(o)</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par value</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per share</w:t>
      </w:r>
    </w:p>
    <w:p>
      <w:pPr>
        <w:spacing w:after="0" w:line="26"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Preferred</w:t>
      </w:r>
    </w:p>
    <w:p>
      <w:pPr>
        <w:spacing w:after="0" w:line="17"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Shares,</w:t>
      </w:r>
    </w:p>
    <w:p>
      <w:pPr>
        <w:spacing w:after="0" w:line="1" w:lineRule="exact"/>
        <w:rPr>
          <w:sz w:val="20"/>
          <w:szCs w:val="20"/>
          <w:color w:val="auto"/>
        </w:rPr>
      </w:pPr>
    </w:p>
    <w:p>
      <w:pPr>
        <w:ind w:left="1180"/>
        <w:spacing w:after="0"/>
        <w:tabs>
          <w:tab w:leader="none" w:pos="1860" w:val="left"/>
          <w:tab w:leader="none" w:pos="2840" w:val="left"/>
        </w:tabs>
        <w:rPr>
          <w:sz w:val="20"/>
          <w:szCs w:val="20"/>
          <w:color w:val="auto"/>
        </w:rPr>
      </w:pPr>
      <w:r>
        <w:rPr>
          <w:rFonts w:ascii="Arial" w:cs="Arial" w:eastAsia="Arial" w:hAnsi="Arial"/>
          <w:sz w:val="16"/>
          <w:szCs w:val="16"/>
          <w:color w:val="auto"/>
        </w:rPr>
        <w:t>Equity</w:t>
        <w:tab/>
        <w:t>$0.001</w:t>
      </w:r>
      <w:r>
        <w:rPr>
          <w:sz w:val="20"/>
          <w:szCs w:val="20"/>
          <w:color w:val="auto"/>
        </w:rPr>
        <w:tab/>
      </w:r>
      <w:r>
        <w:rPr>
          <w:rFonts w:ascii="Arial" w:cs="Arial" w:eastAsia="Arial" w:hAnsi="Arial"/>
          <w:sz w:val="16"/>
          <w:szCs w:val="16"/>
          <w:color w:val="auto"/>
        </w:rPr>
        <w:t>457(o)</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par value</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per share</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7"/>
                <w:szCs w:val="17"/>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7"/>
                <w:szCs w:val="17"/>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ind w:left="20"/>
              <w:spacing w:after="0" w:line="174"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$ 69,050.00</w:t>
            </w:r>
          </w:p>
        </w:tc>
        <w:tc>
          <w:tcPr>
            <w:tcW w:w="0" w:type="dxa"/>
            <w:vAlign w:val="bottom"/>
          </w:tcPr>
          <w:p>
            <w:pPr>
              <w:spacing w:after="0"/>
              <w:rPr>
                <w:sz w:val="1"/>
                <w:szCs w:val="1"/>
                <w:color w:val="auto"/>
              </w:rPr>
            </w:pPr>
          </w:p>
        </w:tc>
      </w:tr>
      <w:tr>
        <w:trPr>
          <w:trHeight w:val="165"/>
        </w:trPr>
        <w:tc>
          <w:tcPr>
            <w:tcW w:w="780" w:type="dxa"/>
            <w:vAlign w:val="bottom"/>
            <w:shd w:val="clear" w:color="auto" w:fill="E7E7E2"/>
          </w:tcPr>
          <w:p>
            <w:pPr>
              <w:spacing w:after="0" w:line="165"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500,000,000.00</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ind w:left="20"/>
              <w:spacing w:after="0" w:line="144"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5"/>
          </w:tcPr>
          <w:p>
            <w:pPr>
              <w:jc w:val="right"/>
              <w:ind w:right="51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78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6"/>
                <w:szCs w:val="16"/>
                <w:color w:val="auto"/>
              </w:rPr>
              <w:t>Total Offering Amounts:</w:t>
            </w:r>
          </w:p>
        </w:tc>
        <w:tc>
          <w:tcPr>
            <w:tcW w:w="19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$ 69,050.00</w:t>
            </w: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80" w:type="dxa"/>
            <w:vAlign w:val="bottom"/>
            <w:gridSpan w:val="4"/>
          </w:tcPr>
          <w:p>
            <w:pPr>
              <w:jc w:val="right"/>
              <w:spacing w:after="0"/>
              <w:rPr>
                <w:sz w:val="20"/>
                <w:szCs w:val="20"/>
                <w:color w:val="auto"/>
              </w:rPr>
            </w:pPr>
            <w:r>
              <w:rPr>
                <w:rFonts w:ascii="Arial" w:cs="Arial" w:eastAsia="Arial" w:hAnsi="Arial"/>
                <w:sz w:val="16"/>
                <w:szCs w:val="16"/>
                <w:color w:val="auto"/>
              </w:rPr>
              <w:t>500,000,000.00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gridSpan w:val="5"/>
          </w:tcPr>
          <w:p>
            <w:pPr>
              <w:jc w:val="right"/>
              <w:ind w:right="20"/>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6"/>
                <w:szCs w:val="16"/>
                <w:color w:val="auto"/>
              </w:rPr>
              <w:t>Net Fee Due:</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$ 69,050.00</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59" w:lineRule="exact"/>
        <w:rPr>
          <w:sz w:val="20"/>
          <w:szCs w:val="20"/>
          <w:color w:val="auto"/>
        </w:rPr>
      </w:pPr>
    </w:p>
    <w:p>
      <w:pPr>
        <w:ind w:left="200" w:right="140"/>
        <w:spacing w:after="0" w:line="244" w:lineRule="auto"/>
        <w:rPr>
          <w:sz w:val="20"/>
          <w:szCs w:val="20"/>
          <w:color w:val="auto"/>
        </w:rPr>
      </w:pPr>
      <w:r>
        <w:rPr>
          <w:rFonts w:ascii="Arial" w:cs="Arial" w:eastAsia="Arial" w:hAnsi="Arial"/>
          <w:sz w:val="16"/>
          <w:szCs w:val="16"/>
          <w:color w:val="auto"/>
        </w:rPr>
        <w:t>The securities covered by this registration statement to be sold by the Registrant may be sold separately or in any combination with other securities registered under this registration statement from time to time in one or more offerings. There are being registered hereunder such indeterminate number or amount, as the case may be, of (i) ordinary shares, (ii) preferred shares, (iii) debt securities, (iv) warrants and/or (v) units consisting of some or all of these securities in any combination, as may be sold from time to time by the Registrant. Any securities registered hereunder may be sold separately or as units with other securities registered hereunder. There are also being registered hereunder an indeterminable number of ordinary shares and debt securities as shall be issuable upon conversion, exchange or exercise of any securities that provide for such issuance or pursuant to any anti-dilution adjustments with respect to any such convertible debt securities. The proposed maximum offering price per security and the proposed aggregate offering price per class of security will be determined from time to time by the Registrant of the securities registered hereunder and is not specified as to each class of security. No separate consideration will be received for ordinary shares that are issued upon conversion or exchange of any preferred shares, debt securities, warrants or units registered hereunder. The registration fee has been calculated in accordance with Rule 457(o) under the Securities Act of 1933, as amended. The aggregate maximum offering price is estimated solely for the purpose of calculating the registration fee. The aggregate maximum offering price of all securities issued by the Registrant pursuant to this registration statement will not exceed $500,000,000.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715137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40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4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Title</w:t>
            </w:r>
          </w:p>
        </w:tc>
        <w:tc>
          <w:tcPr>
            <w:tcW w:w="4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4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with</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4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4"/>
                <w:szCs w:val="14"/>
                <w:color w:val="auto"/>
              </w:rPr>
            </w:pPr>
          </w:p>
        </w:tc>
        <w:tc>
          <w:tcPr>
            <w:tcW w:w="64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w w:val="99"/>
              </w:rPr>
              <w:t>with Fee</w:t>
            </w:r>
          </w:p>
        </w:tc>
        <w:tc>
          <w:tcPr>
            <w:tcW w:w="40" w:type="dxa"/>
            <w:vAlign w:val="bottom"/>
          </w:tcPr>
          <w:p>
            <w:pPr>
              <w:spacing w:after="0"/>
              <w:rPr>
                <w:sz w:val="14"/>
                <w:szCs w:val="14"/>
                <w:color w:val="auto"/>
              </w:rPr>
            </w:pPr>
          </w:p>
        </w:tc>
        <w:tc>
          <w:tcPr>
            <w:tcW w:w="90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Fee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vMerge w:val="continue"/>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4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Source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7157085</wp:posOffset>
            </wp:positionH>
            <wp:positionV relativeFrom="paragraph">
              <wp:posOffset>-972820</wp:posOffset>
            </wp:positionV>
            <wp:extent cx="12700" cy="20897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12700" cy="20897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-972820</wp:posOffset>
            </wp:positionV>
            <wp:extent cx="12700" cy="2089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12700" cy="208978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6"/>
          <w:szCs w:val="16"/>
          <w:b w:val="1"/>
          <w:bCs w:val="1"/>
          <w:color w:val="auto"/>
        </w:rPr>
        <w:t>Rules 457(b) and 0-11(a)(2)</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-109220</wp:posOffset>
            </wp:positionV>
            <wp:extent cx="7113270" cy="2476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7113270" cy="2476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Claims</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-109220</wp:posOffset>
            </wp:positionV>
            <wp:extent cx="7113270" cy="2476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7113270" cy="2476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Sources</w:t>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Rule 457(p)</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-109220</wp:posOffset>
            </wp:positionV>
            <wp:extent cx="7113270" cy="2476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7113270" cy="2476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22860</wp:posOffset>
            </wp:positionV>
            <wp:extent cx="7113270"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7113270" cy="34925"/>
                    </a:xfrm>
                    <a:prstGeom prst="rect">
                      <a:avLst/>
                    </a:prstGeom>
                    <a:noFill/>
                  </pic:spPr>
                </pic:pic>
              </a:graphicData>
            </a:graphic>
          </wp:anchor>
        </w:drawing>
      </w:r>
    </w:p>
    <w:p>
      <w:pPr>
        <w:sectPr>
          <w:pgSz w:w="11900" w:h="16838" w:orient="portrait"/>
          <w:cols w:equalWidth="0" w:num="1">
            <w:col w:w="11360"/>
          </w:cols>
          <w:pgMar w:left="300" w:top="141" w:right="239" w:bottom="0" w:gutter="0" w:footer="0" w:header="0"/>
        </w:sectPr>
      </w:pPr>
    </w:p>
    <w:bookmarkStart w:id="61" w:name="page62"/>
    <w:bookmarkEnd w:id="61"/>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-103505</wp:posOffset>
            </wp:positionV>
            <wp:extent cx="7171690" cy="263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extLst>
                    </a:blip>
                    <a:srcRect/>
                    <a:stretch>
                      <a:fillRect/>
                    </a:stretch>
                  </pic:blipFill>
                  <pic:spPr bwMode="auto">
                    <a:xfrm>
                      <a:off x="0" y="0"/>
                      <a:ext cx="7171690" cy="26352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Sources</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266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22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4"/>
          </w:tcPr>
          <w:p>
            <w:pPr>
              <w:ind w:left="74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60"/>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8"/>
                <w:szCs w:val="8"/>
                <w:color w:val="auto"/>
              </w:rPr>
            </w:pPr>
          </w:p>
        </w:tc>
        <w:tc>
          <w:tcPr>
            <w:tcW w:w="680" w:type="dxa"/>
            <w:vAlign w:val="bottom"/>
            <w:vMerge w:val="restart"/>
            <w:shd w:val="clear" w:color="auto" w:fill="9ADAF6"/>
          </w:tcPr>
          <w:p>
            <w:pPr>
              <w:ind w:left="140"/>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8"/>
                <w:szCs w:val="8"/>
                <w:color w:val="auto"/>
              </w:rPr>
            </w:pPr>
          </w:p>
        </w:tc>
        <w:tc>
          <w:tcPr>
            <w:tcW w:w="1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220" w:type="dxa"/>
            <w:vAlign w:val="bottom"/>
            <w:vMerge w:val="restart"/>
            <w:shd w:val="clear" w:color="auto" w:fill="9ADAF6"/>
          </w:tcPr>
          <w:p>
            <w:pPr>
              <w:ind w:left="60"/>
              <w:spacing w:after="0"/>
              <w:rPr>
                <w:sz w:val="20"/>
                <w:szCs w:val="20"/>
                <w:color w:val="auto"/>
              </w:rPr>
            </w:pPr>
            <w:r>
              <w:rPr>
                <w:rFonts w:ascii="Arial" w:cs="Arial" w:eastAsia="Arial" w:hAnsi="Arial"/>
                <w:sz w:val="16"/>
                <w:szCs w:val="16"/>
                <w:b w:val="1"/>
                <w:bCs w:val="1"/>
                <w:color w:val="auto"/>
              </w:rPr>
              <w:t>Security Class Title</w:t>
            </w: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2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Previously</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8"/>
                <w:szCs w:val="8"/>
                <w:color w:val="auto"/>
              </w:rPr>
            </w:pPr>
          </w:p>
        </w:tc>
        <w:tc>
          <w:tcPr>
            <w:tcW w:w="680" w:type="dxa"/>
            <w:vAlign w:val="bottom"/>
            <w:vMerge w:val="restart"/>
            <w:shd w:val="clear" w:color="auto" w:fill="9ADAF6"/>
          </w:tcPr>
          <w:p>
            <w:pPr>
              <w:ind w:left="16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8"/>
                <w:szCs w:val="8"/>
                <w:color w:val="auto"/>
              </w:rPr>
            </w:pPr>
          </w:p>
        </w:tc>
        <w:tc>
          <w:tcPr>
            <w:tcW w:w="11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shd w:val="clear" w:color="auto" w:fill="9ADAF6"/>
          </w:tcPr>
          <w:p>
            <w:pPr>
              <w:spacing w:after="0"/>
              <w:rPr>
                <w:sz w:val="11"/>
                <w:szCs w:val="11"/>
                <w:color w:val="auto"/>
              </w:rPr>
            </w:pPr>
          </w:p>
        </w:tc>
        <w:tc>
          <w:tcPr>
            <w:tcW w:w="22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22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00" w:top="120" w:right="29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6"/>
          <w:szCs w:val="16"/>
          <w:b w:val="1"/>
          <w:bCs w:val="1"/>
          <w:color w:val="auto"/>
        </w:rPr>
        <w:t>Exhibit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OPEN MARKET SALE AGREEMENT</w:t>
      </w:r>
      <w:r>
        <w:rPr>
          <w:rFonts w:ascii="Times New Roman" w:cs="Times New Roman" w:eastAsia="Times New Roman" w:hAnsi="Times New Roman"/>
          <w:sz w:val="21"/>
          <w:szCs w:val="21"/>
          <w:b w:val="1"/>
          <w:bCs w:val="1"/>
          <w:color w:val="auto"/>
          <w:vertAlign w:val="superscript"/>
        </w:rPr>
        <w:t>SM</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July 1, 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JEFFERIES LLC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520 Madison Avenue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 10022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71" w:lineRule="exact"/>
        <w:rPr>
          <w:sz w:val="20"/>
          <w:szCs w:val="20"/>
          <w:color w:val="auto"/>
        </w:rPr>
      </w:pPr>
    </w:p>
    <w:p>
      <w:pPr>
        <w:jc w:val="both"/>
        <w:ind w:firstLine="492"/>
        <w:spacing w:after="0" w:line="283" w:lineRule="auto"/>
        <w:rPr>
          <w:sz w:val="20"/>
          <w:szCs w:val="20"/>
          <w:color w:val="auto"/>
        </w:rPr>
      </w:pPr>
      <w:r>
        <w:rPr>
          <w:rFonts w:ascii="Times New Roman" w:cs="Times New Roman" w:eastAsia="Times New Roman" w:hAnsi="Times New Roman"/>
          <w:sz w:val="16"/>
          <w:szCs w:val="16"/>
          <w:color w:val="auto"/>
        </w:rPr>
        <w:t>Crescent Biopharma, Inc., a Cayman Islands exempted company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proposes, subject to the terms and conditions stated herein, to issue and sell from time to time through Jefferies LLC, as sales agent and/or principal (the “</w:t>
      </w:r>
      <w:r>
        <w:rPr>
          <w:rFonts w:ascii="Times New Roman" w:cs="Times New Roman" w:eastAsia="Times New Roman" w:hAnsi="Times New Roman"/>
          <w:sz w:val="16"/>
          <w:szCs w:val="16"/>
          <w:b w:val="1"/>
          <w:bCs w:val="1"/>
          <w:color w:val="auto"/>
        </w:rPr>
        <w:t>Agent</w:t>
      </w:r>
      <w:r>
        <w:rPr>
          <w:rFonts w:ascii="Times New Roman" w:cs="Times New Roman" w:eastAsia="Times New Roman" w:hAnsi="Times New Roman"/>
          <w:sz w:val="16"/>
          <w:szCs w:val="16"/>
          <w:color w:val="auto"/>
        </w:rPr>
        <w:t>”), ordinary shares of the Company, par value $0.001 per share (the “</w:t>
      </w:r>
      <w:r>
        <w:rPr>
          <w:rFonts w:ascii="Times New Roman" w:cs="Times New Roman" w:eastAsia="Times New Roman" w:hAnsi="Times New Roman"/>
          <w:sz w:val="16"/>
          <w:szCs w:val="16"/>
          <w:b w:val="1"/>
          <w:bCs w:val="1"/>
          <w:color w:val="auto"/>
        </w:rPr>
        <w:t>Ordinary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6"/>
          <w:szCs w:val="16"/>
          <w:color w:val="auto"/>
        </w:rPr>
        <w:t>”), on the terms set forth in this agreement (this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w:t>
      </w:r>
    </w:p>
    <w:p>
      <w:pPr>
        <w:spacing w:after="0" w:line="88"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6"/>
          <w:szCs w:val="16"/>
          <w:b w:val="1"/>
          <w:bCs w:val="1"/>
          <w:color w:val="auto"/>
        </w:rPr>
        <w:t>Section 1.</w:t>
      </w:r>
      <w:r>
        <w:rPr>
          <w:sz w:val="20"/>
          <w:szCs w:val="20"/>
          <w:color w:val="auto"/>
        </w:rPr>
        <w:tab/>
      </w:r>
      <w:r>
        <w:rPr>
          <w:rFonts w:ascii="Times New Roman" w:cs="Times New Roman" w:eastAsia="Times New Roman" w:hAnsi="Times New Roman"/>
          <w:sz w:val="16"/>
          <w:szCs w:val="16"/>
          <w:b w:val="1"/>
          <w:bCs w:val="1"/>
          <w:color w:val="auto"/>
        </w:rPr>
        <w:t>DEFINITIONS</w:t>
      </w:r>
    </w:p>
    <w:p>
      <w:pPr>
        <w:spacing w:after="0" w:line="148" w:lineRule="exact"/>
        <w:rPr>
          <w:sz w:val="20"/>
          <w:szCs w:val="20"/>
          <w:color w:val="auto"/>
        </w:rPr>
      </w:pPr>
    </w:p>
    <w:p>
      <w:pPr>
        <w:ind w:left="980" w:hanging="486"/>
        <w:spacing w:after="0"/>
        <w:tabs>
          <w:tab w:leader="none" w:pos="9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Definitions</w:t>
      </w:r>
      <w:r>
        <w:rPr>
          <w:rFonts w:ascii="Times New Roman" w:cs="Times New Roman" w:eastAsia="Times New Roman" w:hAnsi="Times New Roman"/>
          <w:sz w:val="16"/>
          <w:szCs w:val="16"/>
          <w:color w:val="auto"/>
        </w:rPr>
        <w:t>. For purposes of this Agreement, capitalized terms used herein and not otherwise defined shall have the following respective meanings:</w:t>
      </w:r>
    </w:p>
    <w:p>
      <w:pPr>
        <w:spacing w:after="0" w:line="161" w:lineRule="exact"/>
        <w:rPr>
          <w:sz w:val="20"/>
          <w:szCs w:val="20"/>
          <w:color w:val="auto"/>
        </w:rPr>
      </w:pPr>
    </w:p>
    <w:p>
      <w:pPr>
        <w:jc w:val="both"/>
        <w:ind w:firstLine="492"/>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318" w:lineRule="exact"/>
        <w:rPr>
          <w:sz w:val="20"/>
          <w:szCs w:val="20"/>
          <w:color w:val="auto"/>
        </w:rPr>
      </w:pPr>
    </w:p>
    <w:p>
      <w:pPr>
        <w:jc w:val="both"/>
        <w:ind w:firstLine="492"/>
        <w:spacing w:after="0" w:line="31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Agency Period</w:t>
      </w:r>
      <w:r>
        <w:rPr>
          <w:rFonts w:ascii="Times New Roman" w:cs="Times New Roman" w:eastAsia="Times New Roman" w:hAnsi="Times New Roman"/>
          <w:sz w:val="16"/>
          <w:szCs w:val="16"/>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Commission</w:t>
      </w:r>
      <w:r>
        <w:rPr>
          <w:rFonts w:ascii="Times New Roman" w:cs="Times New Roman" w:eastAsia="Times New Roman" w:hAnsi="Times New Roman"/>
          <w:sz w:val="16"/>
          <w:szCs w:val="16"/>
          <w:color w:val="auto"/>
        </w:rPr>
        <w:t>” means the U.S. Securities and Exchange Commission.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means the Securities Exchange Act of 1934, as amended, and the rules and regulations of the Commission thereunder.</w:t>
      </w:r>
    </w:p>
    <w:p>
      <w:pPr>
        <w:spacing w:after="0" w:line="175" w:lineRule="exact"/>
        <w:rPr>
          <w:sz w:val="20"/>
          <w:szCs w:val="20"/>
          <w:color w:val="auto"/>
        </w:rPr>
      </w:pPr>
    </w:p>
    <w:p>
      <w:pPr>
        <w:jc w:val="both"/>
        <w:ind w:firstLine="492"/>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Floor Price</w:t>
      </w:r>
      <w:r>
        <w:rPr>
          <w:rFonts w:ascii="Times New Roman" w:cs="Times New Roman" w:eastAsia="Times New Roman" w:hAnsi="Times New Roman"/>
          <w:sz w:val="16"/>
          <w:szCs w:val="16"/>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vertAlign w:val="superscript"/>
        </w:rPr>
        <w:t>SM</w:t>
      </w:r>
      <w:r>
        <w:rPr>
          <w:rFonts w:ascii="Times New Roman" w:cs="Times New Roman" w:eastAsia="Times New Roman" w:hAnsi="Times New Roman"/>
          <w:sz w:val="14"/>
          <w:szCs w:val="14"/>
          <w:color w:val="auto"/>
        </w:rPr>
        <w:t xml:space="preserve"> “Open Market Sale Agreement” is a service mark of Jefferies LLC</w:t>
      </w:r>
    </w:p>
    <w:p>
      <w:pPr>
        <w:sectPr>
          <w:pgSz w:w="11900" w:h="16838" w:orient="portrait"/>
          <w:cols w:equalWidth="0" w:num="1">
            <w:col w:w="11280"/>
          </w:cols>
          <w:pgMar w:left="300" w:top="125" w:right="319" w:bottom="1440" w:gutter="0" w:footer="0" w:header="0"/>
        </w:sectPr>
      </w:pPr>
    </w:p>
    <w:bookmarkStart w:id="63" w:name="page64"/>
    <w:bookmarkEnd w:id="63"/>
    <w:p>
      <w:pPr>
        <w:ind w:left="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Issuance Amount</w:t>
      </w:r>
      <w:r>
        <w:rPr>
          <w:rFonts w:ascii="Times New Roman" w:cs="Times New Roman" w:eastAsia="Times New Roman" w:hAnsi="Times New Roman"/>
          <w:sz w:val="16"/>
          <w:szCs w:val="16"/>
          <w:color w:val="auto"/>
        </w:rPr>
        <w:t>” means the aggregate Sales Price of the Shares to be sold by the Agent pursuant to any Issuance Notice.</w:t>
      </w:r>
    </w:p>
    <w:p>
      <w:pPr>
        <w:spacing w:after="0" w:line="175" w:lineRule="exact"/>
        <w:rPr>
          <w:sz w:val="20"/>
          <w:szCs w:val="20"/>
          <w:color w:val="auto"/>
        </w:rPr>
      </w:pPr>
    </w:p>
    <w:p>
      <w:pPr>
        <w:jc w:val="both"/>
        <w:ind w:firstLine="492"/>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Issuance Notice</w:t>
      </w:r>
      <w:r>
        <w:rPr>
          <w:rFonts w:ascii="Times New Roman" w:cs="Times New Roman" w:eastAsia="Times New Roman" w:hAnsi="Times New Roman"/>
          <w:sz w:val="16"/>
          <w:szCs w:val="16"/>
          <w:color w:val="auto"/>
        </w:rPr>
        <w:t>” means a written notice delivered to the Agent by the Company in accordance with this Agreement in the form attached hereto as Exhibit A that is executed by its Chief Executive Officer, President or Chief Financial Officer.</w:t>
      </w:r>
    </w:p>
    <w:p>
      <w:pPr>
        <w:spacing w:after="0" w:line="1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Issuance Notice Date</w:t>
      </w:r>
      <w:r>
        <w:rPr>
          <w:rFonts w:ascii="Times New Roman" w:cs="Times New Roman" w:eastAsia="Times New Roman" w:hAnsi="Times New Roman"/>
          <w:sz w:val="16"/>
          <w:szCs w:val="16"/>
          <w:color w:val="auto"/>
        </w:rPr>
        <w:t xml:space="preserve">” means any Trading Day during the Agency Period that an Issuance Notice is delivered pursuant to </w:t>
      </w:r>
      <w:r>
        <w:rPr>
          <w:rFonts w:ascii="Times New Roman" w:cs="Times New Roman" w:eastAsia="Times New Roman" w:hAnsi="Times New Roman"/>
          <w:sz w:val="16"/>
          <w:szCs w:val="16"/>
          <w:u w:val="single" w:color="auto"/>
          <w:color w:val="auto"/>
        </w:rPr>
        <w:t>Section 3(b)(i)</w:t>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Issuance Price</w:t>
      </w:r>
      <w:r>
        <w:rPr>
          <w:rFonts w:ascii="Times New Roman" w:cs="Times New Roman" w:eastAsia="Times New Roman" w:hAnsi="Times New Roman"/>
          <w:sz w:val="16"/>
          <w:szCs w:val="16"/>
          <w:color w:val="auto"/>
        </w:rPr>
        <w:t>” means the Sales Price less the Selling Commission.</w:t>
      </w:r>
    </w:p>
    <w:p>
      <w:pPr>
        <w:spacing w:after="0" w:line="175" w:lineRule="exact"/>
        <w:rPr>
          <w:sz w:val="20"/>
          <w:szCs w:val="20"/>
          <w:color w:val="auto"/>
        </w:rPr>
      </w:pPr>
    </w:p>
    <w:p>
      <w:pPr>
        <w:jc w:val="both"/>
        <w:ind w:firstLine="492"/>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Maximum Program Amount</w:t>
      </w:r>
      <w:r>
        <w:rPr>
          <w:rFonts w:ascii="Times New Roman" w:cs="Times New Roman" w:eastAsia="Times New Roman" w:hAnsi="Times New Roman"/>
          <w:sz w:val="16"/>
          <w:szCs w:val="16"/>
          <w:color w:val="auto"/>
        </w:rPr>
        <w:t>” means Ordinary Shares with an aggregate Sales Price of the lesser of (a) the number or dollar amount of Ordinary Shares registered under the effective Registration Statement (defined below) pursuant to which the offering is being made, (b) the number of authorized but unissued Ordinary Shares (less Ordinary Shares issuable upon exercise, conversion or exchange of any outstanding securities of the Company or otherwise reserved from the Company’s authorized share capital), (c) the number or dollar amount of Ordinary Shares permitted to be sold under Form S-3 (including General Instruction I.B.6 thereof, if applicable), or (d) the number or dollar amount of Ordinary Shares for which the Company has filed a Prospectus (defined below).</w:t>
      </w:r>
    </w:p>
    <w:p>
      <w:pPr>
        <w:spacing w:after="0" w:line="122" w:lineRule="exact"/>
        <w:rPr>
          <w:sz w:val="20"/>
          <w:szCs w:val="20"/>
          <w:color w:val="auto"/>
        </w:rPr>
      </w:pPr>
    </w:p>
    <w:p>
      <w:pPr>
        <w:jc w:val="both"/>
        <w:ind w:firstLine="492"/>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 individual or a corporation, partnership, limited liability company, trust, incorporated or unincorporated association, joint venture, joint stock company, governmental authority or other entity of any kind.</w:t>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Principal Market</w:t>
      </w:r>
      <w:r>
        <w:rPr>
          <w:rFonts w:ascii="Times New Roman" w:cs="Times New Roman" w:eastAsia="Times New Roman" w:hAnsi="Times New Roman"/>
          <w:sz w:val="16"/>
          <w:szCs w:val="16"/>
          <w:color w:val="auto"/>
        </w:rPr>
        <w:t>” means the Nasdaq Capital Market or such other national securities exchange on which the Ordinary Shares, including any Shares, are then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listed.</w:t>
      </w:r>
    </w:p>
    <w:p>
      <w:pPr>
        <w:spacing w:after="0" w:line="163" w:lineRule="exact"/>
        <w:rPr>
          <w:sz w:val="20"/>
          <w:szCs w:val="20"/>
          <w:color w:val="auto"/>
        </w:rPr>
      </w:pPr>
    </w:p>
    <w:p>
      <w:pPr>
        <w:jc w:val="both"/>
        <w:ind w:firstLine="492"/>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Rule 462(b) Registration Statement</w:t>
      </w:r>
      <w:r>
        <w:rPr>
          <w:rFonts w:ascii="Times New Roman" w:cs="Times New Roman" w:eastAsia="Times New Roman" w:hAnsi="Times New Roman"/>
          <w:sz w:val="16"/>
          <w:szCs w:val="16"/>
          <w:color w:val="auto"/>
        </w:rPr>
        <w:t>” means any registration statement filed by the Company pursuant to Rule 462(b) under the Securities Act in connection with the offer and sale of Shares.</w:t>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Sales Price</w:t>
      </w:r>
      <w:r>
        <w:rPr>
          <w:rFonts w:ascii="Times New Roman" w:cs="Times New Roman" w:eastAsia="Times New Roman" w:hAnsi="Times New Roman"/>
          <w:sz w:val="16"/>
          <w:szCs w:val="16"/>
          <w:color w:val="auto"/>
        </w:rPr>
        <w:t>” means the actual sale execution price of each Share placed by the Agent pursuant to this Agreement.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means the Securities Act of 1933, as amended, and the rules and regulations of the Commission thereunder.</w:t>
      </w:r>
    </w:p>
    <w:p>
      <w:pPr>
        <w:spacing w:after="0" w:line="175" w:lineRule="exact"/>
        <w:rPr>
          <w:sz w:val="20"/>
          <w:szCs w:val="20"/>
          <w:color w:val="auto"/>
        </w:rPr>
      </w:pPr>
    </w:p>
    <w:p>
      <w:pPr>
        <w:jc w:val="both"/>
        <w:ind w:firstLine="492"/>
        <w:spacing w:after="0" w:line="31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Selling Commission</w:t>
      </w:r>
      <w:r>
        <w:rPr>
          <w:rFonts w:ascii="Times New Roman" w:cs="Times New Roman" w:eastAsia="Times New Roman" w:hAnsi="Times New Roman"/>
          <w:sz w:val="16"/>
          <w:szCs w:val="16"/>
          <w:color w:val="auto"/>
        </w:rPr>
        <w:t>” means three percent 3.0% of the gross proceeds of Shares sold pursuant to this Agreement, or as otherwise agreed between the Company and the Agent with respect to any Shares sold pursuant to this Agreement.</w:t>
      </w:r>
    </w:p>
    <w:p>
      <w:pPr>
        <w:spacing w:after="0" w:line="86" w:lineRule="exact"/>
        <w:rPr>
          <w:sz w:val="20"/>
          <w:szCs w:val="20"/>
          <w:color w:val="auto"/>
        </w:rPr>
      </w:pPr>
    </w:p>
    <w:p>
      <w:pPr>
        <w:jc w:val="both"/>
        <w:ind w:firstLine="492"/>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Settlement Date</w:t>
      </w:r>
      <w:r>
        <w:rPr>
          <w:rFonts w:ascii="Times New Roman" w:cs="Times New Roman" w:eastAsia="Times New Roman" w:hAnsi="Times New Roman"/>
          <w:sz w:val="16"/>
          <w:szCs w:val="16"/>
          <w:color w:val="auto"/>
        </w:rPr>
        <w:t>” means the first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80"/>
          </w:cols>
          <w:pgMar w:left="300" w:top="1110" w:right="319" w:bottom="1440" w:gutter="0" w:footer="0" w:header="0"/>
        </w:sectPr>
      </w:pPr>
    </w:p>
    <w:bookmarkStart w:id="64" w:name="page65"/>
    <w:bookmarkEnd w:id="64"/>
    <w:p>
      <w:pPr>
        <w:ind w:left="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6"/>
          <w:szCs w:val="16"/>
          <w:color w:val="auto"/>
        </w:rPr>
        <w:t>” shall mean the Company’s Ordinary Shares issued or issuable pursuant to this Agreement.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means any day on which the Principal Market is open for trading.</w:t>
      </w:r>
    </w:p>
    <w:p>
      <w:pPr>
        <w:spacing w:after="0" w:line="155"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6"/>
          <w:szCs w:val="16"/>
          <w:b w:val="1"/>
          <w:bCs w:val="1"/>
          <w:color w:val="auto"/>
        </w:rPr>
        <w:t>Section 2.</w:t>
      </w:r>
      <w:r>
        <w:rPr>
          <w:sz w:val="20"/>
          <w:szCs w:val="20"/>
          <w:color w:val="auto"/>
        </w:rPr>
        <w:tab/>
      </w:r>
      <w:r>
        <w:rPr>
          <w:rFonts w:ascii="Times New Roman" w:cs="Times New Roman" w:eastAsia="Times New Roman" w:hAnsi="Times New Roman"/>
          <w:sz w:val="16"/>
          <w:szCs w:val="16"/>
          <w:b w:val="1"/>
          <w:bCs w:val="1"/>
          <w:color w:val="auto"/>
        </w:rPr>
        <w:t>REPRESENTATIONS AND WARRANTIES OF THE COMPANY</w:t>
      </w:r>
    </w:p>
    <w:p>
      <w:pPr>
        <w:spacing w:after="0" w:line="169" w:lineRule="exact"/>
        <w:rPr>
          <w:sz w:val="20"/>
          <w:szCs w:val="20"/>
          <w:color w:val="auto"/>
        </w:rPr>
      </w:pPr>
    </w:p>
    <w:p>
      <w:pPr>
        <w:jc w:val="both"/>
        <w:ind w:firstLine="492"/>
        <w:spacing w:after="0" w:line="271" w:lineRule="auto"/>
        <w:rPr>
          <w:sz w:val="20"/>
          <w:szCs w:val="20"/>
          <w:color w:val="auto"/>
        </w:rPr>
      </w:pPr>
      <w:r>
        <w:rPr>
          <w:rFonts w:ascii="Times New Roman" w:cs="Times New Roman" w:eastAsia="Times New Roman" w:hAnsi="Times New Roman"/>
          <w:sz w:val="16"/>
          <w:szCs w:val="16"/>
          <w:color w:val="auto"/>
        </w:rPr>
        <w:t>The Company represents and warrants to, and agrees with, the Agent that as of (1) the date of this Agreement, (2) each Issuance Notice Date, (3) each Settlement Date, (4) each Triggering Event Date (as defined below) and (5) as of each Time of Sale (as defined below) (each of the times referenced above is referred to herein as a “</w:t>
      </w:r>
      <w:r>
        <w:rPr>
          <w:rFonts w:ascii="Times New Roman" w:cs="Times New Roman" w:eastAsia="Times New Roman" w:hAnsi="Times New Roman"/>
          <w:sz w:val="16"/>
          <w:szCs w:val="16"/>
          <w:b w:val="1"/>
          <w:bCs w:val="1"/>
          <w:color w:val="auto"/>
        </w:rPr>
        <w:t>Representation Date</w:t>
      </w:r>
      <w:r>
        <w:rPr>
          <w:rFonts w:ascii="Times New Roman" w:cs="Times New Roman" w:eastAsia="Times New Roman" w:hAnsi="Times New Roman"/>
          <w:sz w:val="16"/>
          <w:szCs w:val="16"/>
          <w:color w:val="auto"/>
        </w:rPr>
        <w:t>”), except as may be disclosed in the Prospectus (including any documents incorporated by reference therein and any supplements thereto) on or before a Representation Date:</w:t>
      </w:r>
    </w:p>
    <w:p>
      <w:pPr>
        <w:spacing w:after="0" w:line="102" w:lineRule="exact"/>
        <w:rPr>
          <w:sz w:val="20"/>
          <w:szCs w:val="20"/>
          <w:color w:val="auto"/>
        </w:rPr>
      </w:pPr>
    </w:p>
    <w:p>
      <w:pPr>
        <w:jc w:val="both"/>
        <w:ind w:firstLine="494"/>
        <w:spacing w:after="0" w:line="218" w:lineRule="auto"/>
        <w:tabs>
          <w:tab w:leader="none" w:pos="98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The Company has prepared and filed or will file with the Commission a shelf registration statement on Form S-3 that contains a base prospectus (the “</w:t>
      </w:r>
      <w:r>
        <w:rPr>
          <w:rFonts w:ascii="Times New Roman" w:cs="Times New Roman" w:eastAsia="Times New Roman" w:hAnsi="Times New Roman"/>
          <w:sz w:val="16"/>
          <w:szCs w:val="16"/>
          <w:b w:val="1"/>
          <w:bCs w:val="1"/>
          <w:color w:val="auto"/>
        </w:rPr>
        <w:t>Base Prospectus</w:t>
      </w:r>
      <w:r>
        <w:rPr>
          <w:rFonts w:ascii="Times New Roman" w:cs="Times New Roman" w:eastAsia="Times New Roman" w:hAnsi="Times New Roman"/>
          <w:sz w:val="16"/>
          <w:szCs w:val="16"/>
          <w:color w:val="auto"/>
        </w:rPr>
        <w:t>”).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and including any information contained in a Prospectus (as defined below) subsequently filed with the Commission pursuant to Rule 424(b) under the Securities Act, is herein referred to as the “</w:t>
      </w:r>
      <w:r>
        <w:rPr>
          <w:rFonts w:ascii="Times New Roman" w:cs="Times New Roman" w:eastAsia="Times New Roman" w:hAnsi="Times New Roman"/>
          <w:sz w:val="16"/>
          <w:szCs w:val="16"/>
          <w:b w:val="1"/>
          <w:bCs w:val="1"/>
          <w:color w:val="auto"/>
        </w:rPr>
        <w:t>Registration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Statement</w:t>
      </w:r>
      <w:r>
        <w:rPr>
          <w:rFonts w:ascii="Times New Roman" w:cs="Times New Roman" w:eastAsia="Times New Roman" w:hAnsi="Times New Roman"/>
          <w:sz w:val="16"/>
          <w:szCs w:val="16"/>
          <w:color w:val="auto"/>
        </w:rPr>
        <w:t>,” and the Base Prospectus constituting a part of such registration statement(s), together with any prospectus supplement filed with the Commission pursuant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Times New Roman" w:cs="Times New Roman" w:eastAsia="Times New Roman" w:hAnsi="Times New Roman"/>
          <w:sz w:val="16"/>
          <w:szCs w:val="16"/>
          <w:b w:val="1"/>
          <w:bCs w:val="1"/>
          <w:color w:val="auto"/>
        </w:rPr>
        <w:t>Prospectus</w:t>
      </w:r>
      <w:r>
        <w:rPr>
          <w:rFonts w:ascii="Times New Roman" w:cs="Times New Roman" w:eastAsia="Times New Roman" w:hAnsi="Times New Roman"/>
          <w:sz w:val="16"/>
          <w:szCs w:val="16"/>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 w:cs="Times New Roman" w:eastAsia="Times New Roman" w:hAnsi="Times New Roman"/>
          <w:sz w:val="16"/>
          <w:szCs w:val="16"/>
          <w:b w:val="1"/>
          <w:bCs w:val="1"/>
          <w:color w:val="auto"/>
        </w:rPr>
        <w:t>Prospectus</w:t>
      </w:r>
      <w:r>
        <w:rPr>
          <w:rFonts w:ascii="Times New Roman" w:cs="Times New Roman" w:eastAsia="Times New Roman" w:hAnsi="Times New Roman"/>
          <w:sz w:val="16"/>
          <w:szCs w:val="16"/>
          <w:color w:val="auto"/>
        </w:rPr>
        <w:t>” shall refer to such revised prospectus from and after the time it is first provided to the Agent for such use. The Registration Statement at the time it originally became or becomes effective is herein called the “</w:t>
      </w:r>
      <w:r>
        <w:rPr>
          <w:rFonts w:ascii="Times New Roman" w:cs="Times New Roman" w:eastAsia="Times New Roman" w:hAnsi="Times New Roman"/>
          <w:sz w:val="16"/>
          <w:szCs w:val="16"/>
          <w:b w:val="1"/>
          <w:bCs w:val="1"/>
          <w:color w:val="auto"/>
        </w:rPr>
        <w:t>Original Registration Statement</w:t>
      </w:r>
      <w:r>
        <w:rPr>
          <w:rFonts w:ascii="Times New Roman" w:cs="Times New Roman" w:eastAsia="Times New Roman" w:hAnsi="Times New Roman"/>
          <w:sz w:val="16"/>
          <w:szCs w:val="16"/>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40" w:lineRule="exact"/>
        <w:rPr>
          <w:sz w:val="20"/>
          <w:szCs w:val="20"/>
          <w:color w:val="auto"/>
        </w:rPr>
      </w:pPr>
    </w:p>
    <w:p>
      <w:pPr>
        <w:jc w:val="both"/>
        <w:ind w:firstLine="492"/>
        <w:spacing w:after="0" w:line="267" w:lineRule="auto"/>
        <w:rPr>
          <w:sz w:val="20"/>
          <w:szCs w:val="20"/>
          <w:color w:val="auto"/>
        </w:rPr>
      </w:pPr>
      <w:r>
        <w:rPr>
          <w:rFonts w:ascii="Times New Roman" w:cs="Times New Roman" w:eastAsia="Times New Roman" w:hAnsi="Times New Roman"/>
          <w:sz w:val="16"/>
          <w:szCs w:val="16"/>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80"/>
          </w:cols>
          <w:pgMar w:left="300" w:top="1110" w:right="319" w:bottom="1440" w:gutter="0" w:footer="0" w:header="0"/>
        </w:sectPr>
      </w:pPr>
    </w:p>
    <w:bookmarkStart w:id="65" w:name="page66"/>
    <w:bookmarkEnd w:id="65"/>
    <w:p>
      <w:pPr>
        <w:jc w:val="both"/>
        <w:spacing w:after="0" w:line="271" w:lineRule="auto"/>
        <w:rPr>
          <w:sz w:val="20"/>
          <w:szCs w:val="20"/>
          <w:color w:val="auto"/>
        </w:rPr>
      </w:pPr>
      <w:r>
        <w:rPr>
          <w:rFonts w:ascii="Times New Roman" w:cs="Times New Roman" w:eastAsia="Times New Roman" w:hAnsi="Times New Roman"/>
          <w:sz w:val="16"/>
          <w:szCs w:val="16"/>
          <w:color w:val="auto"/>
        </w:rPr>
        <w:t>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deliver or make available (and all other references of like import) copies of any report or statement shall be deemed satisfied if the same is filed with the Commission through its Electronic Data Gathering, Analysis and Retrieval system (“</w:t>
      </w:r>
      <w:r>
        <w:rPr>
          <w:rFonts w:ascii="Times New Roman" w:cs="Times New Roman" w:eastAsia="Times New Roman" w:hAnsi="Times New Roman"/>
          <w:sz w:val="16"/>
          <w:szCs w:val="16"/>
          <w:b w:val="1"/>
          <w:bCs w:val="1"/>
          <w:color w:val="auto"/>
        </w:rPr>
        <w:t>EDGAR</w:t>
      </w:r>
      <w:r>
        <w:rPr>
          <w:rFonts w:ascii="Times New Roman" w:cs="Times New Roman" w:eastAsia="Times New Roman" w:hAnsi="Times New Roman"/>
          <w:sz w:val="16"/>
          <w:szCs w:val="16"/>
          <w:color w:val="auto"/>
        </w:rPr>
        <w:t>”).</w:t>
      </w:r>
    </w:p>
    <w:p>
      <w:pPr>
        <w:spacing w:after="0" w:line="123" w:lineRule="exact"/>
        <w:rPr>
          <w:sz w:val="20"/>
          <w:szCs w:val="20"/>
          <w:color w:val="auto"/>
        </w:rPr>
      </w:pPr>
    </w:p>
    <w:p>
      <w:pPr>
        <w:jc w:val="both"/>
        <w:ind w:firstLine="492"/>
        <w:spacing w:after="0" w:line="273" w:lineRule="auto"/>
        <w:rPr>
          <w:sz w:val="20"/>
          <w:szCs w:val="20"/>
          <w:color w:val="auto"/>
        </w:rPr>
      </w:pPr>
      <w:r>
        <w:rPr>
          <w:rFonts w:ascii="Times New Roman" w:cs="Times New Roman" w:eastAsia="Times New Roman" w:hAnsi="Times New Roman"/>
          <w:sz w:val="16"/>
          <w:szCs w:val="16"/>
          <w:color w:val="auto"/>
        </w:rPr>
        <w:t>At the time the Original Registration Statement was or will be declared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00" w:lineRule="exact"/>
        <w:rPr>
          <w:sz w:val="20"/>
          <w:szCs w:val="20"/>
          <w:color w:val="auto"/>
        </w:rPr>
      </w:pPr>
    </w:p>
    <w:p>
      <w:pPr>
        <w:jc w:val="both"/>
        <w:ind w:firstLine="494"/>
        <w:spacing w:after="0" w:line="227" w:lineRule="auto"/>
        <w:tabs>
          <w:tab w:leader="none" w:pos="981"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Registration Requirements</w:t>
      </w:r>
      <w:r>
        <w:rPr>
          <w:rFonts w:ascii="Times New Roman" w:cs="Times New Roman" w:eastAsia="Times New Roman" w:hAnsi="Times New Roman"/>
          <w:sz w:val="16"/>
          <w:szCs w:val="16"/>
          <w:color w:val="auto"/>
        </w:rPr>
        <w:t>. The Original Registration Statement and any Rule 462(b) Registration Statement have been or will be, as applicable, declared effective by the Commission under the Securities Act. The Company has complied or will comply to the Commission’s satisfaction with any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w:t>
      </w:r>
    </w:p>
    <w:p>
      <w:pPr>
        <w:spacing w:after="0" w:line="114" w:lineRule="exact"/>
        <w:rPr>
          <w:rFonts w:ascii="Times New Roman" w:cs="Times New Roman" w:eastAsia="Times New Roman" w:hAnsi="Times New Roman"/>
          <w:sz w:val="16"/>
          <w:szCs w:val="16"/>
          <w:color w:val="auto"/>
        </w:rPr>
      </w:pPr>
    </w:p>
    <w:p>
      <w:pPr>
        <w:jc w:val="both"/>
        <w:ind w:firstLine="494"/>
        <w:spacing w:after="0" w:line="232" w:lineRule="auto"/>
        <w:tabs>
          <w:tab w:leader="none" w:pos="98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w:t>
      </w:r>
      <w:r>
        <w:rPr>
          <w:rFonts w:ascii="Times New Roman" w:cs="Times New Roman" w:eastAsia="Times New Roman" w:hAnsi="Times New Roman"/>
          <w:sz w:val="16"/>
          <w:szCs w:val="16"/>
          <w:color w:val="auto"/>
        </w:rPr>
        <w:t>. The Prospectus when filed complied or will comply in all material respects with the Securities Act and, if filed with the Commission through EDGAR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 w:cs="Times New Roman" w:eastAsia="Times New Roman" w:hAnsi="Times New Roman"/>
          <w:sz w:val="16"/>
          <w:szCs w:val="16"/>
          <w:b w:val="1"/>
          <w:bCs w:val="1"/>
          <w:color w:val="auto"/>
        </w:rPr>
        <w:t>Time of Sale Information</w:t>
      </w:r>
      <w:r>
        <w:rPr>
          <w:rFonts w:ascii="Times New Roman" w:cs="Times New Roman" w:eastAsia="Times New Roman" w:hAnsi="Times New Roman"/>
          <w:sz w:val="16"/>
          <w:szCs w:val="16"/>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below. There are no contracts or other documents required to be described in the Prospectus or to be filed as exhibits to the Registration Statement that have not been described or filed as required. The Registration Statement and the offer and sale of the Shares as contemplated hereby meet the requirements of Rule 415(a)(4) under the Securities Act and comply in all material respects with said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80"/>
          </w:cols>
          <w:pgMar w:left="300" w:top="1114" w:right="319" w:bottom="1440" w:gutter="0" w:footer="0" w:header="0"/>
        </w:sectPr>
      </w:pPr>
    </w:p>
    <w:bookmarkStart w:id="66" w:name="page67"/>
    <w:bookmarkEnd w:id="66"/>
    <w:p>
      <w:pPr>
        <w:jc w:val="both"/>
        <w:ind w:firstLine="494"/>
        <w:spacing w:after="0" w:line="230" w:lineRule="auto"/>
        <w:tabs>
          <w:tab w:leader="none" w:pos="98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Incorporated Documents</w:t>
      </w:r>
      <w:r>
        <w:rPr>
          <w:rFonts w:ascii="Times New Roman" w:cs="Times New Roman" w:eastAsia="Times New Roman" w:hAnsi="Times New Roman"/>
          <w:sz w:val="16"/>
          <w:szCs w:val="16"/>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15" w:lineRule="exact"/>
        <w:rPr>
          <w:rFonts w:ascii="Times New Roman" w:cs="Times New Roman" w:eastAsia="Times New Roman" w:hAnsi="Times New Roman"/>
          <w:sz w:val="16"/>
          <w:szCs w:val="16"/>
          <w:color w:val="auto"/>
        </w:rPr>
      </w:pPr>
    </w:p>
    <w:p>
      <w:pPr>
        <w:jc w:val="both"/>
        <w:ind w:firstLine="494"/>
        <w:spacing w:after="0" w:line="224" w:lineRule="auto"/>
        <w:tabs>
          <w:tab w:leader="none" w:pos="98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Act Compliance</w:t>
      </w:r>
      <w:r>
        <w:rPr>
          <w:rFonts w:ascii="Times New Roman" w:cs="Times New Roman" w:eastAsia="Times New Roman" w:hAnsi="Times New Roman"/>
          <w:sz w:val="16"/>
          <w:szCs w:val="16"/>
          <w:color w:val="auto"/>
        </w:rPr>
        <w:t>. The documents incorporated or deemed to be incorporated by reference in the Registration Statement and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18" w:lineRule="exact"/>
        <w:rPr>
          <w:rFonts w:ascii="Times New Roman" w:cs="Times New Roman" w:eastAsia="Times New Roman" w:hAnsi="Times New Roman"/>
          <w:sz w:val="16"/>
          <w:szCs w:val="16"/>
          <w:color w:val="auto"/>
        </w:rPr>
      </w:pPr>
    </w:p>
    <w:p>
      <w:pPr>
        <w:ind w:left="980" w:hanging="486"/>
        <w:spacing w:after="0"/>
        <w:tabs>
          <w:tab w:leader="none" w:pos="9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This Agreement</w:t>
      </w:r>
      <w:r>
        <w:rPr>
          <w:rFonts w:ascii="Times New Roman" w:cs="Times New Roman" w:eastAsia="Times New Roman" w:hAnsi="Times New Roman"/>
          <w:sz w:val="16"/>
          <w:szCs w:val="16"/>
          <w:color w:val="auto"/>
        </w:rPr>
        <w:t>. This Agreement has been duly authorized, executed and delivered by the Company.</w:t>
      </w:r>
    </w:p>
    <w:p>
      <w:pPr>
        <w:spacing w:after="0" w:line="144" w:lineRule="exact"/>
        <w:rPr>
          <w:rFonts w:ascii="Times New Roman" w:cs="Times New Roman" w:eastAsia="Times New Roman" w:hAnsi="Times New Roman"/>
          <w:sz w:val="16"/>
          <w:szCs w:val="16"/>
          <w:color w:val="auto"/>
        </w:rPr>
      </w:pPr>
    </w:p>
    <w:p>
      <w:pPr>
        <w:jc w:val="both"/>
        <w:ind w:firstLine="494"/>
        <w:spacing w:after="0" w:line="230" w:lineRule="auto"/>
        <w:tabs>
          <w:tab w:leader="none" w:pos="98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Authorization of the Shares</w:t>
      </w:r>
      <w:r>
        <w:rPr>
          <w:rFonts w:ascii="Times New Roman" w:cs="Times New Roman" w:eastAsia="Times New Roman" w:hAnsi="Times New Roman"/>
          <w:sz w:val="16"/>
          <w:szCs w:val="16"/>
          <w:color w:val="auto"/>
        </w:rPr>
        <w:t>. The Shares have been duly authorized for issuance and sale pursuant to this Agreement and, when issued and delivered by the Company against payment therefor pursuant to this Agreement and the register of members of the Company has been updated to reflect the same, will be validly issued, fully paid and nonassessable, and the issuance and sale of the Shares is not subject to any preemptive rights, rights of first refusal or other similar rights to subscribe for or purchase the Shares.</w:t>
      </w:r>
    </w:p>
    <w:p>
      <w:pPr>
        <w:spacing w:after="0" w:line="115" w:lineRule="exact"/>
        <w:rPr>
          <w:rFonts w:ascii="Times New Roman" w:cs="Times New Roman" w:eastAsia="Times New Roman" w:hAnsi="Times New Roman"/>
          <w:sz w:val="16"/>
          <w:szCs w:val="16"/>
          <w:color w:val="auto"/>
        </w:rPr>
      </w:pPr>
    </w:p>
    <w:p>
      <w:pPr>
        <w:ind w:firstLine="494"/>
        <w:spacing w:after="0" w:line="253" w:lineRule="auto"/>
        <w:tabs>
          <w:tab w:leader="none" w:pos="98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Applicable Registration or Other Similar Rights</w:t>
      </w:r>
      <w:r>
        <w:rPr>
          <w:rFonts w:ascii="Times New Roman" w:cs="Times New Roman" w:eastAsia="Times New Roman" w:hAnsi="Times New Roman"/>
          <w:sz w:val="16"/>
          <w:szCs w:val="16"/>
          <w:color w:val="auto"/>
        </w:rPr>
        <w:t>. There are no persons with registration or other similar rights to have any equity or debt securities registered for sale under the Registration Statement or included in the offering contemplated by this Agreement.</w:t>
      </w:r>
    </w:p>
    <w:p>
      <w:pPr>
        <w:spacing w:after="0" w:line="104" w:lineRule="exact"/>
        <w:rPr>
          <w:rFonts w:ascii="Times New Roman" w:cs="Times New Roman" w:eastAsia="Times New Roman" w:hAnsi="Times New Roman"/>
          <w:sz w:val="16"/>
          <w:szCs w:val="16"/>
          <w:color w:val="auto"/>
        </w:rPr>
      </w:pPr>
    </w:p>
    <w:p>
      <w:pPr>
        <w:jc w:val="both"/>
        <w:ind w:firstLine="494"/>
        <w:spacing w:after="0" w:line="219" w:lineRule="auto"/>
        <w:tabs>
          <w:tab w:leader="none" w:pos="976"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Material Adverse Change</w:t>
      </w:r>
      <w:r>
        <w:rPr>
          <w:rFonts w:ascii="Times New Roman" w:cs="Times New Roman" w:eastAsia="Times New Roman" w:hAnsi="Times New Roman"/>
          <w:sz w:val="16"/>
          <w:szCs w:val="16"/>
          <w:color w:val="auto"/>
        </w:rPr>
        <w:t>. Except as otherwise disclosed in the Registration Statement and the Prospectus, subsequent to the respective dates as of which information is given in the Registration Statement and the Prospectus: (i) there has been no material adverse change, or any development that would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 w:cs="Times New Roman" w:eastAsia="Times New Roman" w:hAnsi="Times New Roman"/>
          <w:sz w:val="16"/>
          <w:szCs w:val="16"/>
          <w:b w:val="1"/>
          <w:bCs w:val="1"/>
          <w:color w:val="auto"/>
        </w:rPr>
        <w:t>Material Adverse Change</w:t>
      </w:r>
      <w:r>
        <w:rPr>
          <w:rFonts w:ascii="Times New Roman" w:cs="Times New Roman" w:eastAsia="Times New Roman" w:hAnsi="Times New Roman"/>
          <w:sz w:val="16"/>
          <w:szCs w:val="16"/>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material transactions not in the ordinary course of business; and (iii) there has not been any material decrease in the share capital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share capital, or any repurchase or redemption by the Company or any of its subsidiaries of any class of share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80"/>
          </w:cols>
          <w:pgMar w:left="300" w:top="1093" w:right="319" w:bottom="1440" w:gutter="0" w:footer="0" w:header="0"/>
        </w:sectPr>
      </w:pPr>
    </w:p>
    <w:bookmarkStart w:id="67" w:name="page68"/>
    <w:bookmarkEnd w:id="67"/>
    <w:p>
      <w:pPr>
        <w:jc w:val="both"/>
        <w:ind w:firstLine="494"/>
        <w:spacing w:after="0" w:line="227" w:lineRule="auto"/>
        <w:tabs>
          <w:tab w:leader="none" w:pos="976"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Independent Accountants</w:t>
      </w:r>
      <w:r>
        <w:rPr>
          <w:rFonts w:ascii="Times New Roman" w:cs="Times New Roman" w:eastAsia="Times New Roman" w:hAnsi="Times New Roman"/>
          <w:sz w:val="16"/>
          <w:szCs w:val="16"/>
          <w:color w:val="auto"/>
        </w:rPr>
        <w:t>. PricewaterhouseCoopers LLP, which has expressed its opinion with respect to the financial statements (which term as used in this Agreement includes the related notes thereto) filed with the Commission as a part of the Registration Statement and the Prospectus, is (i) an independent registered public accounting firm as required by the Securities Act, the Exchange Act, and the rules of the Public Company Accounting Oversight Board (“</w:t>
      </w:r>
      <w:r>
        <w:rPr>
          <w:rFonts w:ascii="Times New Roman" w:cs="Times New Roman" w:eastAsia="Times New Roman" w:hAnsi="Times New Roman"/>
          <w:sz w:val="16"/>
          <w:szCs w:val="16"/>
          <w:b w:val="1"/>
          <w:bCs w:val="1"/>
          <w:color w:val="auto"/>
        </w:rPr>
        <w:t>PCAOB</w:t>
      </w:r>
      <w:r>
        <w:rPr>
          <w:rFonts w:ascii="Times New Roman" w:cs="Times New Roman" w:eastAsia="Times New Roman" w:hAnsi="Times New Roman"/>
          <w:sz w:val="16"/>
          <w:szCs w:val="16"/>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14" w:lineRule="exact"/>
        <w:rPr>
          <w:rFonts w:ascii="Times New Roman" w:cs="Times New Roman" w:eastAsia="Times New Roman" w:hAnsi="Times New Roman"/>
          <w:sz w:val="16"/>
          <w:szCs w:val="16"/>
          <w:color w:val="auto"/>
        </w:rPr>
      </w:pPr>
    </w:p>
    <w:p>
      <w:pPr>
        <w:jc w:val="both"/>
        <w:ind w:firstLine="494"/>
        <w:spacing w:after="0" w:line="237" w:lineRule="auto"/>
        <w:tabs>
          <w:tab w:leader="none" w:pos="981"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Financial Statements</w:t>
      </w:r>
      <w:r>
        <w:rPr>
          <w:rFonts w:ascii="Times New Roman" w:cs="Times New Roman" w:eastAsia="Times New Roman" w:hAnsi="Times New Roman"/>
          <w:sz w:val="16"/>
          <w:szCs w:val="16"/>
          <w:color w:val="auto"/>
        </w:rPr>
        <w:t>. The financial statements filed with the Commission as a part of the Registration Statement and the Prospectus present fairly, in all material respects, the consolidated financial position of the Company and its subsidiaries as of the dates indicated and the results of their operations, changes in shareholders’ equity and cash flows for the periods specified. Such financial statements have been prepared in conformity with generally accepted accounting principles (“</w:t>
      </w:r>
      <w:r>
        <w:rPr>
          <w:rFonts w:ascii="Times New Roman" w:cs="Times New Roman" w:eastAsia="Times New Roman" w:hAnsi="Times New Roman"/>
          <w:sz w:val="16"/>
          <w:szCs w:val="16"/>
          <w:b w:val="1"/>
          <w:bCs w:val="1"/>
          <w:color w:val="auto"/>
        </w:rPr>
        <w:t>GAAP</w:t>
      </w:r>
      <w:r>
        <w:rPr>
          <w:rFonts w:ascii="Times New Roman" w:cs="Times New Roman" w:eastAsia="Times New Roman" w:hAnsi="Times New Roman"/>
          <w:sz w:val="16"/>
          <w:szCs w:val="16"/>
          <w:color w:val="auto"/>
        </w:rPr>
        <w:t>”) as applied in the United States applied on a consistent basis throughout the periods involved, except as may be expressly stated in the related notes thereto and except in the case of unaudited financial statements, which are subject to normal year-end adjustments and do not contain certain footnotes as permitted by the applicable rules of the Commission.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or the Prospectus. The financial data set forth in each of the Registration Statement and the Prospectus fairly present, in all material respects, the information set forth therein on a basis consistent with that of the audited financial statements contained in the Registration Statement and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117" w:lineRule="exact"/>
        <w:rPr>
          <w:rFonts w:ascii="Times New Roman" w:cs="Times New Roman" w:eastAsia="Times New Roman" w:hAnsi="Times New Roman"/>
          <w:sz w:val="16"/>
          <w:szCs w:val="16"/>
          <w:color w:val="auto"/>
        </w:rPr>
      </w:pPr>
    </w:p>
    <w:p>
      <w:pPr>
        <w:jc w:val="both"/>
        <w:ind w:firstLine="494"/>
        <w:spacing w:after="0" w:line="223" w:lineRule="auto"/>
        <w:tabs>
          <w:tab w:leader="none" w:pos="976"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Company’s Accounting System</w:t>
      </w:r>
      <w:r>
        <w:rPr>
          <w:rFonts w:ascii="Times New Roman" w:cs="Times New Roman" w:eastAsia="Times New Roman" w:hAnsi="Times New Roman"/>
          <w:sz w:val="16"/>
          <w:szCs w:val="16"/>
          <w:color w:val="auto"/>
        </w:rPr>
        <w:t>. The Company and its subsidiaries make and keep books and records that are accurate in all material respects and maintain a system of internal accounting controls designed, and sufficient, to provide reasonable assurance that: (i) transactions are executed in accordance with management’s general or specific authorization; (ii) transactions are recorded as necessary to permit preparation of financial statements in conformity with GAAP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116" w:lineRule="exact"/>
        <w:rPr>
          <w:rFonts w:ascii="Times New Roman" w:cs="Times New Roman" w:eastAsia="Times New Roman" w:hAnsi="Times New Roman"/>
          <w:sz w:val="16"/>
          <w:szCs w:val="16"/>
          <w:color w:val="auto"/>
        </w:rPr>
      </w:pPr>
    </w:p>
    <w:p>
      <w:pPr>
        <w:jc w:val="both"/>
        <w:ind w:firstLine="494"/>
        <w:spacing w:after="0" w:line="230" w:lineRule="auto"/>
        <w:tabs>
          <w:tab w:leader="none" w:pos="976"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 Controls and Procedures; Deficiencies in or Changes to Internal Control Over Financial Reporting</w:t>
      </w:r>
      <w:r>
        <w:rPr>
          <w:rFonts w:ascii="Times New Roman" w:cs="Times New Roman" w:eastAsia="Times New Roman" w:hAnsi="Times New Roman"/>
          <w:sz w:val="16"/>
          <w:szCs w:val="16"/>
          <w:color w:val="auto"/>
        </w:rPr>
        <w:t>.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80"/>
          </w:cols>
          <w:pgMar w:left="300" w:top="1093" w:right="319" w:bottom="1440" w:gutter="0" w:footer="0" w:header="0"/>
        </w:sectPr>
      </w:pPr>
    </w:p>
    <w:bookmarkStart w:id="68" w:name="page69"/>
    <w:bookmarkEnd w:id="68"/>
    <w:p>
      <w:pPr>
        <w:jc w:val="both"/>
        <w:spacing w:after="0" w:line="224" w:lineRule="auto"/>
        <w:rPr>
          <w:sz w:val="20"/>
          <w:szCs w:val="20"/>
          <w:color w:val="auto"/>
        </w:rPr>
      </w:pPr>
      <w:r>
        <w:rPr>
          <w:rFonts w:ascii="Times New Roman" w:cs="Times New Roman" w:eastAsia="Times New Roman" w:hAnsi="Times New Roman"/>
          <w:sz w:val="16"/>
          <w:szCs w:val="16"/>
          <w:color w:val="auto"/>
        </w:rPr>
        <w:t>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19" w:lineRule="exact"/>
        <w:rPr>
          <w:sz w:val="20"/>
          <w:szCs w:val="20"/>
          <w:color w:val="auto"/>
        </w:rPr>
      </w:pPr>
    </w:p>
    <w:p>
      <w:pPr>
        <w:jc w:val="both"/>
        <w:ind w:firstLine="494"/>
        <w:spacing w:after="0" w:line="224" w:lineRule="auto"/>
        <w:tabs>
          <w:tab w:leader="none" w:pos="981"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Incorporation and Good Standing of the Company</w:t>
      </w:r>
      <w:r>
        <w:rPr>
          <w:rFonts w:ascii="Times New Roman" w:cs="Times New Roman" w:eastAsia="Times New Roman" w:hAnsi="Times New Roman"/>
          <w:sz w:val="16"/>
          <w:szCs w:val="16"/>
          <w:color w:val="auto"/>
        </w:rPr>
        <w:t>. The Company has been duly incorporated and registered by way of continuation, and is validly existing, as an exempted company in good standing under the laws of the jurisdiction of its incorporation and has the corporate power and authority to own, lease and operate its properties and to conduct its business as described in the Registration Statement and the Prospectus and to enter into and perform its obligations under this Agreement. The Company is duly qualified as a foreign corporation to transact business and is in good standing under the laws of the Cayman Islands and each other jurisdiction in which such qualification is required, whether by reason of the ownership or leasing of property or the conduct of business, except where the failure to so qualify or to be in good standing would not reasonably be expected, individually or in the aggregate, to result in a Material Adverse Change.</w:t>
      </w:r>
    </w:p>
    <w:p>
      <w:pPr>
        <w:spacing w:after="0" w:line="118" w:lineRule="exact"/>
        <w:rPr>
          <w:rFonts w:ascii="Times New Roman" w:cs="Times New Roman" w:eastAsia="Times New Roman" w:hAnsi="Times New Roman"/>
          <w:sz w:val="16"/>
          <w:szCs w:val="16"/>
          <w:color w:val="auto"/>
        </w:rPr>
      </w:pPr>
    </w:p>
    <w:p>
      <w:pPr>
        <w:jc w:val="both"/>
        <w:ind w:firstLine="494"/>
        <w:spacing w:after="0" w:line="235" w:lineRule="auto"/>
        <w:tabs>
          <w:tab w:leader="none" w:pos="981"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Subsidiaries</w:t>
      </w:r>
      <w:r>
        <w:rPr>
          <w:rFonts w:ascii="Times New Roman" w:cs="Times New Roman" w:eastAsia="Times New Roman" w:hAnsi="Times New Roman"/>
          <w:sz w:val="16"/>
          <w:szCs w:val="16"/>
          <w:color w:val="auto"/>
        </w:rPr>
        <w:t>.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and the Prospectus except where the failure to be so qualified or in good standing would not reasonably be expected, individually or in the aggregate, to result in a Material Adverse Change.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individually or in the aggregate, to result in a Material Adverse Change. All of the issued and outstanding share capital or other equity or ownership interests of each of the Company’s subsidiaries have been duly authorized and validly issued, are fully paid and nonassessable and are owned by the Company, directly or through its subsidiaries, free and clear of any security interest, mortgage, pledge, lien, encumbrance or adverse claim. None of the outstanding share capital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21.1 to the Company’s most recent Annual Report on Form 10-K.</w:t>
      </w:r>
    </w:p>
    <w:p>
      <w:pPr>
        <w:spacing w:after="0" w:line="119" w:lineRule="exact"/>
        <w:rPr>
          <w:rFonts w:ascii="Times New Roman" w:cs="Times New Roman" w:eastAsia="Times New Roman" w:hAnsi="Times New Roman"/>
          <w:sz w:val="16"/>
          <w:szCs w:val="16"/>
          <w:color w:val="auto"/>
        </w:rPr>
      </w:pPr>
    </w:p>
    <w:p>
      <w:pPr>
        <w:jc w:val="both"/>
        <w:ind w:firstLine="494"/>
        <w:spacing w:after="0" w:line="230" w:lineRule="auto"/>
        <w:tabs>
          <w:tab w:leader="none" w:pos="981"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Capitalization and Other Share Capital Matters</w:t>
      </w:r>
      <w:r>
        <w:rPr>
          <w:rFonts w:ascii="Times New Roman" w:cs="Times New Roman" w:eastAsia="Times New Roman" w:hAnsi="Times New Roman"/>
          <w:sz w:val="16"/>
          <w:szCs w:val="16"/>
          <w:color w:val="auto"/>
        </w:rPr>
        <w:t>. The authorized, issued and outstanding share capital of the Company is as set forth in the Registration Statement and the Prospectus (other than for subsequent issuances, if any, pursuant to employee benefit plans, or upon the conversion of preferred shares exercise of outstanding options or warrants or the vesting and settlement of restricted share units (“</w:t>
      </w:r>
      <w:r>
        <w:rPr>
          <w:rFonts w:ascii="Times New Roman" w:cs="Times New Roman" w:eastAsia="Times New Roman" w:hAnsi="Times New Roman"/>
          <w:sz w:val="16"/>
          <w:szCs w:val="16"/>
          <w:b w:val="1"/>
          <w:bCs w:val="1"/>
          <w:color w:val="auto"/>
        </w:rPr>
        <w:t>RSUs</w:t>
      </w:r>
      <w:r>
        <w:rPr>
          <w:rFonts w:ascii="Times New Roman" w:cs="Times New Roman" w:eastAsia="Times New Roman" w:hAnsi="Times New Roman"/>
          <w:sz w:val="16"/>
          <w:szCs w:val="16"/>
          <w:color w:val="auto"/>
        </w:rPr>
        <w:t>”), in each case as described in the Registration Statement and the Prospectus). The Ordinary Shares (including the Shares) conform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80"/>
          </w:cols>
          <w:pgMar w:left="300" w:top="1093" w:right="319" w:bottom="1440" w:gutter="0" w:footer="0" w:header="0"/>
        </w:sectPr>
      </w:pPr>
    </w:p>
    <w:bookmarkStart w:id="69" w:name="page70"/>
    <w:bookmarkEnd w:id="69"/>
    <w:p>
      <w:pPr>
        <w:jc w:val="both"/>
        <w:spacing w:after="0"/>
        <w:rPr>
          <w:sz w:val="20"/>
          <w:szCs w:val="20"/>
          <w:color w:val="auto"/>
        </w:rPr>
      </w:pPr>
      <w:r>
        <w:rPr>
          <w:rFonts w:ascii="Times New Roman" w:cs="Times New Roman" w:eastAsia="Times New Roman" w:hAnsi="Times New Roman"/>
          <w:sz w:val="16"/>
          <w:szCs w:val="16"/>
          <w:color w:val="auto"/>
        </w:rPr>
        <w:t>in all material respects to the description thereof contained in the Prospectus. All of the issued and outstanding Shares have been duly authorized and validly issued, are fully paid and nonassessable and have been issued in compliance with all applicable Cayman Islands and U.S. federal and state securities laws. None of the outstanding Shares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shares of the Company, or any of its subsidiaries other than those described in the Registration Statement and the Prospectus. The descriptions of the Company’s options, bonus and other option plans or arrangements, and the options or other rights granted thereunder, set forth in the Registration Statement and the Prospectus accurately and fairly present, in all material respects, the information required to be shown with respect to such plans, arrangements, options and rights.</w:t>
      </w:r>
    </w:p>
    <w:p>
      <w:pPr>
        <w:spacing w:after="0" w:line="189" w:lineRule="exact"/>
        <w:rPr>
          <w:sz w:val="20"/>
          <w:szCs w:val="20"/>
          <w:color w:val="auto"/>
        </w:rPr>
      </w:pPr>
    </w:p>
    <w:p>
      <w:pPr>
        <w:jc w:val="both"/>
        <w:ind w:firstLine="494"/>
        <w:spacing w:after="0" w:line="230" w:lineRule="auto"/>
        <w:tabs>
          <w:tab w:leader="none" w:pos="98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 Exchange Listing</w:t>
      </w:r>
      <w:r>
        <w:rPr>
          <w:rFonts w:ascii="Times New Roman" w:cs="Times New Roman" w:eastAsia="Times New Roman" w:hAnsi="Times New Roman"/>
          <w:sz w:val="16"/>
          <w:szCs w:val="16"/>
          <w:color w:val="auto"/>
        </w:rPr>
        <w:t>. The Ordinary Shares are registered pursuant to Section 12(b) or 12(g) of the Exchange Act and are listed on the Principal Market, and the Company has taken no action designed to, or likely to have the effect of, terminating the registration of the Ordinary Shares under the Exchange Act or delisting the Ordinary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15" w:lineRule="exact"/>
        <w:rPr>
          <w:rFonts w:ascii="Times New Roman" w:cs="Times New Roman" w:eastAsia="Times New Roman" w:hAnsi="Times New Roman"/>
          <w:sz w:val="16"/>
          <w:szCs w:val="16"/>
          <w:color w:val="auto"/>
        </w:rPr>
      </w:pPr>
    </w:p>
    <w:p>
      <w:pPr>
        <w:jc w:val="both"/>
        <w:ind w:firstLine="494"/>
        <w:spacing w:after="0" w:line="217" w:lineRule="auto"/>
        <w:tabs>
          <w:tab w:leader="none" w:pos="98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Non-Contravention of Existing Instruments; No Further Authorizations or Approvals Required</w:t>
      </w:r>
      <w:r>
        <w:rPr>
          <w:rFonts w:ascii="Times New Roman" w:cs="Times New Roman" w:eastAsia="Times New Roman" w:hAnsi="Times New Roman"/>
          <w:sz w:val="16"/>
          <w:szCs w:val="16"/>
          <w:color w:val="auto"/>
        </w:rPr>
        <w:t>. Neither the Company nor any of its subsidiaries is in violation of its charter or by-laws, partnership agreement or operating agreement or similar organizational documents, as applicable, or is in default (or, with the giving of notice or lapse of time, would be in default) (“</w:t>
      </w:r>
      <w:r>
        <w:rPr>
          <w:rFonts w:ascii="Times New Roman" w:cs="Times New Roman" w:eastAsia="Times New Roman" w:hAnsi="Times New Roman"/>
          <w:sz w:val="16"/>
          <w:szCs w:val="16"/>
          <w:b w:val="1"/>
          <w:bCs w:val="1"/>
          <w:color w:val="auto"/>
        </w:rPr>
        <w:t>Default</w:t>
      </w:r>
      <w:r>
        <w:rPr>
          <w:rFonts w:ascii="Times New Roman" w:cs="Times New Roman" w:eastAsia="Times New Roman" w:hAnsi="Times New Roman"/>
          <w:sz w:val="16"/>
          <w:szCs w:val="16"/>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cs="Times New Roman" w:eastAsia="Times New Roman" w:hAnsi="Times New Roman"/>
          <w:sz w:val="16"/>
          <w:szCs w:val="16"/>
          <w:b w:val="1"/>
          <w:bCs w:val="1"/>
          <w:color w:val="auto"/>
        </w:rPr>
        <w:t>Existing Instrument</w:t>
      </w:r>
      <w:r>
        <w:rPr>
          <w:rFonts w:ascii="Times New Roman" w:cs="Times New Roman" w:eastAsia="Times New Roman" w:hAnsi="Times New Roman"/>
          <w:sz w:val="16"/>
          <w:szCs w:val="16"/>
          <w:color w:val="auto"/>
        </w:rPr>
        <w:t>”), except for such Defaults as would not reasonably be expected, individually or in the aggregate, to result in a Material Adverse Change. The Company’s execution, delivery and performance of this Agreement, consummation of the transactions contemplated hereby and by the Registration Statement and the Prospectus and the issuance and sale of the Shares (including the use of proceeds from the sale of the Shares as described in the Registration Statement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of its subsidiaries,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for such violations as would not reasonably be expected, individually or in the aggregate,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and the Prospectus, except such as have been obtained or made by the Company and are in full force and effect under the Securities Act and such as may be required under applicable state securities or blue sky laws or the Financial Industry Regulatory Authority, Inc. (“</w:t>
      </w:r>
      <w:r>
        <w:rPr>
          <w:rFonts w:ascii="Times New Roman" w:cs="Times New Roman" w:eastAsia="Times New Roman" w:hAnsi="Times New Roman"/>
          <w:sz w:val="16"/>
          <w:szCs w:val="16"/>
          <w:b w:val="1"/>
          <w:bCs w:val="1"/>
          <w:color w:val="auto"/>
        </w:rPr>
        <w:t>FINRA</w:t>
      </w:r>
      <w:r>
        <w:rPr>
          <w:rFonts w:ascii="Times New Roman" w:cs="Times New Roman" w:eastAsia="Times New Roman" w:hAnsi="Times New Roman"/>
          <w:sz w:val="16"/>
          <w:szCs w:val="16"/>
          <w:color w:val="auto"/>
        </w:rPr>
        <w:t>”). As used herein, a “</w:t>
      </w:r>
      <w:r>
        <w:rPr>
          <w:rFonts w:ascii="Times New Roman" w:cs="Times New Roman" w:eastAsia="Times New Roman" w:hAnsi="Times New Roman"/>
          <w:sz w:val="16"/>
          <w:szCs w:val="16"/>
          <w:b w:val="1"/>
          <w:bCs w:val="1"/>
          <w:color w:val="auto"/>
        </w:rPr>
        <w:t>Debt Repayment Triggering Event</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80"/>
          </w:cols>
          <w:pgMar w:left="300" w:top="1093" w:right="319" w:bottom="1440" w:gutter="0" w:footer="0" w:header="0"/>
        </w:sectPr>
      </w:pPr>
    </w:p>
    <w:bookmarkStart w:id="70" w:name="page71"/>
    <w:bookmarkEnd w:id="70"/>
    <w:p>
      <w:pPr>
        <w:jc w:val="both"/>
        <w:spacing w:after="0" w:line="235" w:lineRule="auto"/>
        <w:rPr>
          <w:sz w:val="20"/>
          <w:szCs w:val="20"/>
          <w:color w:val="auto"/>
        </w:rPr>
      </w:pPr>
      <w:r>
        <w:rPr>
          <w:rFonts w:ascii="Times New Roman" w:cs="Times New Roman" w:eastAsia="Times New Roman" w:hAnsi="Times New Roman"/>
          <w:sz w:val="16"/>
          <w:szCs w:val="16"/>
          <w:color w:val="auto"/>
        </w:rPr>
        <w:t>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16" w:lineRule="exact"/>
        <w:rPr>
          <w:sz w:val="20"/>
          <w:szCs w:val="20"/>
          <w:color w:val="auto"/>
        </w:rPr>
      </w:pPr>
    </w:p>
    <w:p>
      <w:pPr>
        <w:ind w:firstLine="494"/>
        <w:spacing w:after="0" w:line="253" w:lineRule="auto"/>
        <w:tabs>
          <w:tab w:leader="none" w:pos="98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The Company and its subsidiaries have been and are in compliance with all applicable laws, rules and regulations, except where failure to be so in compliance would not reasonably be expected, individually or in the aggregate, to result in a Material Adverse Change.</w:t>
      </w:r>
    </w:p>
    <w:p>
      <w:pPr>
        <w:spacing w:after="0" w:line="104" w:lineRule="exact"/>
        <w:rPr>
          <w:rFonts w:ascii="Times New Roman" w:cs="Times New Roman" w:eastAsia="Times New Roman" w:hAnsi="Times New Roman"/>
          <w:sz w:val="16"/>
          <w:szCs w:val="16"/>
          <w:color w:val="auto"/>
        </w:rPr>
      </w:pPr>
    </w:p>
    <w:p>
      <w:pPr>
        <w:jc w:val="both"/>
        <w:ind w:firstLine="494"/>
        <w:spacing w:after="0" w:line="227" w:lineRule="auto"/>
        <w:tabs>
          <w:tab w:leader="none" w:pos="976"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Material Actions or Proceedings</w:t>
      </w:r>
      <w:r>
        <w:rPr>
          <w:rFonts w:ascii="Times New Roman" w:cs="Times New Roman" w:eastAsia="Times New Roman" w:hAnsi="Times New Roman"/>
          <w:sz w:val="16"/>
          <w:szCs w:val="16"/>
          <w:color w:val="auto"/>
        </w:rPr>
        <w:t>. There is no action, suit, proceeding, inquiry or investigation brought by or before any legal or governmental entity now pending or, to the knowledge of the Company, threatened, against or affecting the Company or any of its subsidiaries, which would reasonably be expected, individually or in the aggregate, to result in a Material Adverse Change. No material labor dispute with the employees of the Company or any of its subsidiaries, or with the employees of any principal supplier, manufacturer, customer or contractor of the Company, exists or, to the knowledge of the Company, is threatened or imminent, which could be expected, individually or in the aggregate, to result in a Material Adverse Change.</w:t>
      </w:r>
    </w:p>
    <w:p>
      <w:pPr>
        <w:spacing w:after="0" w:line="114" w:lineRule="exact"/>
        <w:rPr>
          <w:rFonts w:ascii="Times New Roman" w:cs="Times New Roman" w:eastAsia="Times New Roman" w:hAnsi="Times New Roman"/>
          <w:sz w:val="16"/>
          <w:szCs w:val="16"/>
          <w:color w:val="auto"/>
        </w:rPr>
      </w:pPr>
    </w:p>
    <w:p>
      <w:pPr>
        <w:jc w:val="both"/>
        <w:ind w:firstLine="494"/>
        <w:spacing w:after="0" w:line="217" w:lineRule="auto"/>
        <w:tabs>
          <w:tab w:leader="none" w:pos="98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Intellectual Property Rights</w:t>
      </w:r>
      <w:r>
        <w:rPr>
          <w:rFonts w:ascii="Times New Roman" w:cs="Times New Roman" w:eastAsia="Times New Roman" w:hAnsi="Times New Roman"/>
          <w:sz w:val="16"/>
          <w:szCs w:val="16"/>
          <w:color w:val="auto"/>
        </w:rPr>
        <w:t>. The Company and its subsidiaries own, or have obtained valid and enforceable licenses for the inventions, patent applications, patents, trademarks, trade names, service names, service marks, copyrights, trade secrets, know-how (including unpatented and/or unpatentable proprietary or confidential information, systems or procedures) and other intellectual property described in the Registration Statement and the Prospectus as being owned or licensed by them and which are necessary for the conduct of their respective businesses as currently conducted or as currently proposed to be conducted (collectively, “</w:t>
      </w:r>
      <w:r>
        <w:rPr>
          <w:rFonts w:ascii="Times New Roman" w:cs="Times New Roman" w:eastAsia="Times New Roman" w:hAnsi="Times New Roman"/>
          <w:sz w:val="16"/>
          <w:szCs w:val="16"/>
          <w:b w:val="1"/>
          <w:bCs w:val="1"/>
          <w:color w:val="auto"/>
        </w:rPr>
        <w:t>Intellectual Property</w:t>
      </w:r>
      <w:r>
        <w:rPr>
          <w:rFonts w:ascii="Times New Roman" w:cs="Times New Roman" w:eastAsia="Times New Roman" w:hAnsi="Times New Roman"/>
          <w:sz w:val="16"/>
          <w:szCs w:val="16"/>
          <w:color w:val="auto"/>
        </w:rPr>
        <w:t>”), provided that the foregoing representation is not a representation of non-infringement or no misappropriation or violation of any rights of others. The Intellectual Property of the Company has not been adjudged by a court of competent jurisdiction to be invalid or unenforceable, in whole or in part. To the Company’s knowledge: (i) there are no third parties who have rights to any Intellectual Property, including no liens, security interests, or other encumbrances, except for (A) customary reversionary rights of third-party licensors with respect to Intellectual Property that is disclosed in the Registration Statement and the Prospectus as licensed to the Company or one or more of its subsidiaries, and (B) any co-owner of a patent or patent application within the Intellectual Property owned by the Company as co-owner of such patent or named in such patent or patent application; and (ii) there is no infringement by third parties of any Intellectual Property. To the Company’s knowledge, the patents, trademarks and copyrights held by the Company and its subsidiaries, and, those exclusively licensed by the Company and its subsidiaries included within the Intellectual Property, are valid, enforceable and subsisting, and the patent, trademark, and copyright applications held by the Company and its subsidiaries, and, to the Company’s knowledge, those licensed by the Company and its subsidiaries included within the Intellectual Property, are subsisting and have not been abandoned, except in the ordinary course of patent prosecution. All patents and patent applications owned by or, to the Company’s knowledge, licensed to the Company and its subsidiaries, or under which the Company or any of its subsidiaries has rights, have been duly and properly filed and maintained. The development, manufacture, sale, and any currently proposed use of any of the product candidates and proposed processes of the Company referred to in the Registration Statement or the Prospectus as under development, do not currently, and will not upon commercialization, to the Company’s knowledge, infringe any right or valid patent claim of any third party. Neither the Company nor any of its subsidiaries has received any written notice of any claim of any infringement, misappropriation, or conflict with any intellectual property rights of another. There is no pending or, to the Company’s knowledge, threatened action, suit, proceeding or claim by others in writing: (A) challenging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80"/>
          </w:cols>
          <w:pgMar w:left="300" w:top="1093" w:right="319" w:bottom="1440" w:gutter="0" w:footer="0" w:header="0"/>
        </w:sectPr>
      </w:pPr>
    </w:p>
    <w:bookmarkStart w:id="71" w:name="page72"/>
    <w:bookmarkEnd w:id="71"/>
    <w:p>
      <w:pPr>
        <w:jc w:val="both"/>
        <w:spacing w:after="0" w:line="217" w:lineRule="auto"/>
        <w:rPr>
          <w:sz w:val="20"/>
          <w:szCs w:val="20"/>
          <w:color w:val="auto"/>
        </w:rPr>
      </w:pPr>
      <w:r>
        <w:rPr>
          <w:rFonts w:ascii="Times New Roman" w:cs="Times New Roman" w:eastAsia="Times New Roman" w:hAnsi="Times New Roman"/>
          <w:sz w:val="16"/>
          <w:szCs w:val="16"/>
          <w:color w:val="auto"/>
        </w:rPr>
        <w:t>rights in or to any Intellectual Property; (B) challenging the validity, enforceability or scope of any Intellectual Property, including no interferences, oppositions, reexaminations, or government proceedings; or (C) asserting that the Company or any of its subsidiaries infringes, misappropriates, or otherwise violates, or would, upon the commercialization of any product candidate described in the Registration Statement or the Prospectus as under development, infringe, misappropriate, or violate, any patent, trademark, trade name, service name, copyright, trade secret or other proprietary rights of others. The Company and its subsidiaries have complied in all material respects with the material terms of each agreement pursuant to which Intellectual Property has been licensed to the Company or any of its subsidiaries, and all such agreements are in full force and effect. To the Company’s knowledge, there are no material defects in any of the patents or patent applications included in the Intellectual Property. The Company and its subsidiaries have taken all commercially reasonable and appropriate steps to protect, maintain and safeguard their Intellectual Property, including the execution of appropriate nondisclosure, confidentiality agreements and invention assignment agreements and invention assignments with their employees, and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except as would not, individually or in the aggregate, reasonably be expected to result in a Material Adverse Change. To the knowledge of the Company, the duty of candor and 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None of the Company owned Intellectual Property or technology (including information technology and outsourced arrangements) employed by the Company or its subsidiaries has been obtained or is being used by the Company or its subsidiaries in violation of any contractual obligation binding on the Company or its subsidiaries in violation of the rights of any persons. The Company expects the product candidates described in the Registration Statement and the Prospectus as under development by the Company or any of its subsidiaries to fall within the scope of the claims of one or more patents owned by, or exclusively licensed to, the Company or any of its subsidiaries.</w:t>
      </w:r>
    </w:p>
    <w:p>
      <w:pPr>
        <w:spacing w:after="0" w:line="124" w:lineRule="exact"/>
        <w:rPr>
          <w:sz w:val="20"/>
          <w:szCs w:val="20"/>
          <w:color w:val="auto"/>
        </w:rPr>
      </w:pPr>
    </w:p>
    <w:p>
      <w:pPr>
        <w:jc w:val="both"/>
        <w:ind w:firstLine="494"/>
        <w:spacing w:after="0" w:line="220" w:lineRule="auto"/>
        <w:tabs>
          <w:tab w:leader="none" w:pos="981"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All Necessary Permits, etc</w:t>
      </w:r>
      <w:r>
        <w:rPr>
          <w:rFonts w:ascii="Times New Roman" w:cs="Times New Roman" w:eastAsia="Times New Roman" w:hAnsi="Times New Roman"/>
          <w:sz w:val="16"/>
          <w:szCs w:val="16"/>
          <w:color w:val="auto"/>
        </w:rPr>
        <w:t>. The Company and its subsidiaries possess such valid and current licenses, certificates, authorizations, approvals, consents or permits required by Cayman Islands, U.S. state and federal or foreign regulatory agencies or bodies to conduct their respective businesses as currently conducted and as described in the Registration Statement or the Prospectus (“</w:t>
      </w:r>
      <w:r>
        <w:rPr>
          <w:rFonts w:ascii="Times New Roman" w:cs="Times New Roman" w:eastAsia="Times New Roman" w:hAnsi="Times New Roman"/>
          <w:sz w:val="16"/>
          <w:szCs w:val="16"/>
          <w:b w:val="1"/>
          <w:bCs w:val="1"/>
          <w:color w:val="auto"/>
        </w:rPr>
        <w:t>Permits</w:t>
      </w:r>
      <w:r>
        <w:rPr>
          <w:rFonts w:ascii="Times New Roman" w:cs="Times New Roman" w:eastAsia="Times New Roman" w:hAnsi="Times New Roman"/>
          <w:sz w:val="16"/>
          <w:szCs w:val="16"/>
          <w:color w:val="auto"/>
        </w:rPr>
        <w:t>”) except where the failures to so possess would not, whether individually or in the aggregate, reasonably be expected to result in a Material Adverse Change. Neither the Company nor any of its subsidiaries is in violation of, or in default under, any of the Permits or, since June 13, 2025 (the “</w:t>
      </w:r>
      <w:r>
        <w:rPr>
          <w:rFonts w:ascii="Times New Roman" w:cs="Times New Roman" w:eastAsia="Times New Roman" w:hAnsi="Times New Roman"/>
          <w:sz w:val="16"/>
          <w:szCs w:val="16"/>
          <w:b w:val="1"/>
          <w:bCs w:val="1"/>
          <w:color w:val="auto"/>
        </w:rPr>
        <w:t>Merger Date</w:t>
      </w:r>
      <w:r>
        <w:rPr>
          <w:rFonts w:ascii="Times New Roman" w:cs="Times New Roman" w:eastAsia="Times New Roman" w:hAnsi="Times New Roman"/>
          <w:sz w:val="16"/>
          <w:szCs w:val="16"/>
          <w:color w:val="auto"/>
        </w:rPr>
        <w:t>”), and to the Company’s knowledge, prior to the Merger Date, has received any written notice of proceedings relating to the revocation or adverse modification of, or non-compliance with, any such certificate, authorization or permit, where the revocation, adverse modification or non-compliance of such Permits, whether individually or in the aggregate, would reasonably be expected to result in a Material Adverse Change. Except as would not, whether individually or in the aggregate, reasonably be expected to result in a Material Adverse Change, since the Merger Date, and to the Company’s knowledge, prior to the Merger Date, the Company and each of its subsidiaries has filed, obtained, maintained or submitted all reports, documents, forms, notices, applications, records, claims, submissions and supplements or amendments as required by any Permits and that all such reports, documents, forms, notices, applications, records, claims, submissions and supplements or amendments were timely, complete, correct and not misleading on the date filed (or were corrected or supplemented by a subsequent submission).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80"/>
          </w:cols>
          <w:pgMar w:left="300" w:top="1093" w:right="319" w:bottom="1440" w:gutter="0" w:footer="0" w:header="0"/>
        </w:sectPr>
      </w:pPr>
    </w:p>
    <w:bookmarkStart w:id="72" w:name="page73"/>
    <w:bookmarkEnd w:id="72"/>
    <w:p>
      <w:pPr>
        <w:jc w:val="both"/>
        <w:ind w:firstLine="494"/>
        <w:spacing w:after="0" w:line="224" w:lineRule="auto"/>
        <w:tabs>
          <w:tab w:leader="none" w:pos="97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Title to Properties</w:t>
      </w:r>
      <w:r>
        <w:rPr>
          <w:rFonts w:ascii="Times New Roman" w:cs="Times New Roman" w:eastAsia="Times New Roman" w:hAnsi="Times New Roman"/>
          <w:sz w:val="16"/>
          <w:szCs w:val="16"/>
          <w:color w:val="auto"/>
        </w:rPr>
        <w:t xml:space="preserve">. Except as would not reasonably be expected, individually or in the aggregate, to result in a Material Adverse Change, the Company and its subsidiaries have good and marketable title to all of the real and personal property and other assets reflected as owned in the financial statements referred to in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2(k)</w:t>
      </w:r>
      <w:r>
        <w:rPr>
          <w:rFonts w:ascii="Times New Roman" w:cs="Times New Roman" w:eastAsia="Times New Roman" w:hAnsi="Times New Roman"/>
          <w:sz w:val="16"/>
          <w:szCs w:val="16"/>
          <w:color w:val="auto"/>
        </w:rPr>
        <w:t xml:space="preserve"> above (or elsewhere in the Registration Statement or the Prospectus), in each case free and clear of any security interests, mortgages, liens, encumbrances, equities, adverse claims and other defects.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 The Company and its subsidiaries do not own any real property.</w:t>
      </w:r>
    </w:p>
    <w:p>
      <w:pPr>
        <w:spacing w:after="0" w:line="118" w:lineRule="exact"/>
        <w:rPr>
          <w:rFonts w:ascii="Times New Roman" w:cs="Times New Roman" w:eastAsia="Times New Roman" w:hAnsi="Times New Roman"/>
          <w:sz w:val="16"/>
          <w:szCs w:val="16"/>
          <w:color w:val="auto"/>
        </w:rPr>
      </w:pPr>
    </w:p>
    <w:p>
      <w:pPr>
        <w:jc w:val="both"/>
        <w:ind w:firstLine="494"/>
        <w:spacing w:after="0" w:line="224" w:lineRule="auto"/>
        <w:tabs>
          <w:tab w:leader="none" w:pos="981"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Law Compliance</w:t>
      </w:r>
      <w:r>
        <w:rPr>
          <w:rFonts w:ascii="Times New Roman" w:cs="Times New Roman" w:eastAsia="Times New Roman" w:hAnsi="Times New Roman"/>
          <w:sz w:val="16"/>
          <w:szCs w:val="16"/>
          <w:color w:val="auto"/>
        </w:rPr>
        <w:t xml:space="preserve">. Except as would not reasonably be expected, individually or in the aggregate, to result in a Material Adverse Change, the Company and its subsidiaries have filed all necessary U.S. federal, state and foreign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Except as would not reasonably be expected, individually or in the aggregate, to result in a Material Adverse Change, the Company has made adequate charges, accruals and reserves in the applicable financial statements referred to in </w:t>
      </w:r>
      <w:r>
        <w:rPr>
          <w:rFonts w:ascii="Times New Roman" w:cs="Times New Roman" w:eastAsia="Times New Roman" w:hAnsi="Times New Roman"/>
          <w:sz w:val="16"/>
          <w:szCs w:val="16"/>
          <w:u w:val="single" w:color="auto"/>
          <w:color w:val="auto"/>
        </w:rPr>
        <w:t>Section 2(k)</w:t>
      </w:r>
      <w:r>
        <w:rPr>
          <w:rFonts w:ascii="Times New Roman" w:cs="Times New Roman" w:eastAsia="Times New Roman" w:hAnsi="Times New Roman"/>
          <w:sz w:val="16"/>
          <w:szCs w:val="16"/>
          <w:color w:val="auto"/>
        </w:rPr>
        <w:t xml:space="preserve"> above in respect of all federal, state and foreign income and franchise taxes for all periods as to which the tax liability of the Company or any of its subsidiaries has not been finally determined.</w:t>
      </w:r>
    </w:p>
    <w:p>
      <w:pPr>
        <w:spacing w:after="0" w:line="118" w:lineRule="exact"/>
        <w:rPr>
          <w:rFonts w:ascii="Times New Roman" w:cs="Times New Roman" w:eastAsia="Times New Roman" w:hAnsi="Times New Roman"/>
          <w:sz w:val="16"/>
          <w:szCs w:val="16"/>
          <w:color w:val="auto"/>
        </w:rPr>
      </w:pPr>
    </w:p>
    <w:p>
      <w:pPr>
        <w:jc w:val="both"/>
        <w:ind w:firstLine="494"/>
        <w:spacing w:after="0" w:line="227" w:lineRule="auto"/>
        <w:tabs>
          <w:tab w:leader="none" w:pos="981"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Stamp or Transfer Taxes.</w:t>
      </w:r>
      <w:r>
        <w:rPr>
          <w:rFonts w:ascii="Times New Roman" w:cs="Times New Roman" w:eastAsia="Times New Roman" w:hAnsi="Times New Roman"/>
          <w:sz w:val="16"/>
          <w:szCs w:val="16"/>
          <w:color w:val="auto"/>
        </w:rPr>
        <w:t xml:space="preserve"> No documentary, registration, transfer, stamp or other similar taxes or duties including, for the avoidance of doubt, Cayman Islands stamp duty and Cayman Islands stamp duty reserve tax (“</w:t>
      </w:r>
      <w:r>
        <w:rPr>
          <w:rFonts w:ascii="Times New Roman" w:cs="Times New Roman" w:eastAsia="Times New Roman" w:hAnsi="Times New Roman"/>
          <w:sz w:val="16"/>
          <w:szCs w:val="16"/>
          <w:b w:val="1"/>
          <w:bCs w:val="1"/>
          <w:color w:val="auto"/>
        </w:rPr>
        <w:t>Transfer Taxes</w:t>
      </w:r>
      <w:r>
        <w:rPr>
          <w:rFonts w:ascii="Times New Roman" w:cs="Times New Roman" w:eastAsia="Times New Roman" w:hAnsi="Times New Roman"/>
          <w:sz w:val="16"/>
          <w:szCs w:val="16"/>
          <w:color w:val="auto"/>
        </w:rPr>
        <w:t>”) are payable by or on behalf of the Agent, the Company or any of its subsidiaries in the Cayman Islands or to any taxing authority thereof or therein in connection with (i) the execution, delivery or consummation of this Agreement, (ii) the creation, allotment and issuance of the Shares, (iii) the initial sale and delivery of the Shares to the Agent or purchasers procured by the Agent in the manner contemplated herein, or (iv) the resale and delivery of the Shares by the Agent in the manner contemplated herein.</w:t>
      </w:r>
    </w:p>
    <w:p>
      <w:pPr>
        <w:spacing w:after="0" w:line="114" w:lineRule="exact"/>
        <w:rPr>
          <w:rFonts w:ascii="Times New Roman" w:cs="Times New Roman" w:eastAsia="Times New Roman" w:hAnsi="Times New Roman"/>
          <w:sz w:val="16"/>
          <w:szCs w:val="16"/>
          <w:color w:val="auto"/>
        </w:rPr>
      </w:pPr>
    </w:p>
    <w:p>
      <w:pPr>
        <w:jc w:val="both"/>
        <w:ind w:firstLine="494"/>
        <w:spacing w:after="0" w:line="223" w:lineRule="auto"/>
        <w:tabs>
          <w:tab w:leader="none" w:pos="98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Each of the Company and its subsidiaries are insured by recognized, financially sound and reputable institutions with policies in such amounts and with such deductibles and covering such risks as the Company reasonably believes are generally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individually or in the aggregate, to result in a Material Adverse Change. Neither the Company nor any of its subsidiaries has been denied any insurance coverage which it has sought or for which it has applied.</w:t>
      </w:r>
    </w:p>
    <w:p>
      <w:pPr>
        <w:spacing w:after="0" w:line="115" w:lineRule="exact"/>
        <w:rPr>
          <w:sz w:val="20"/>
          <w:szCs w:val="20"/>
          <w:color w:val="auto"/>
        </w:rPr>
      </w:pPr>
    </w:p>
    <w:p>
      <w:pPr>
        <w:ind w:left="980" w:hanging="486"/>
        <w:spacing w:after="0"/>
        <w:tabs>
          <w:tab w:leader="none" w:pos="9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Environmental Laws</w:t>
      </w:r>
      <w:r>
        <w:rPr>
          <w:rFonts w:ascii="Times New Roman" w:cs="Times New Roman" w:eastAsia="Times New Roman" w:hAnsi="Times New Roman"/>
          <w:sz w:val="16"/>
          <w:szCs w:val="16"/>
          <w:color w:val="auto"/>
        </w:rPr>
        <w:t>. Except as would not reasonably be expected, individually or in the aggregate, to result in a Material Adverse</w:t>
      </w:r>
    </w:p>
    <w:p>
      <w:pPr>
        <w:jc w:val="both"/>
        <w:spacing w:after="0" w:line="22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 neither the Company nor any of its subsidiaries is in violation of any applicable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80"/>
          </w:cols>
          <w:pgMar w:left="300" w:top="1093" w:right="319" w:bottom="1440" w:gutter="0" w:footer="0" w:header="0"/>
        </w:sectPr>
      </w:pPr>
    </w:p>
    <w:bookmarkStart w:id="73" w:name="page74"/>
    <w:bookmarkEnd w:id="73"/>
    <w:p>
      <w:pPr>
        <w:jc w:val="both"/>
        <w:spacing w:after="0" w:line="221" w:lineRule="auto"/>
        <w:rPr>
          <w:sz w:val="20"/>
          <w:szCs w:val="20"/>
          <w:color w:val="auto"/>
        </w:rPr>
      </w:pPr>
      <w:r>
        <w:rPr>
          <w:rFonts w:ascii="Times New Roman" w:cs="Times New Roman" w:eastAsia="Times New Roman" w:hAnsi="Times New Roman"/>
          <w:sz w:val="16"/>
          <w:szCs w:val="16"/>
          <w:color w:val="auto"/>
        </w:rPr>
        <w:t>(including,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cs="Times New Roman" w:eastAsia="Times New Roman" w:hAnsi="Times New Roman"/>
          <w:sz w:val="16"/>
          <w:szCs w:val="16"/>
          <w:b w:val="1"/>
          <w:bCs w:val="1"/>
          <w:color w:val="auto"/>
        </w:rPr>
        <w:t>Hazardous Materials</w:t>
      </w:r>
      <w:r>
        <w:rPr>
          <w:rFonts w:ascii="Times New Roman" w:cs="Times New Roman" w:eastAsia="Times New Roman" w:hAnsi="Times New Roman"/>
          <w:sz w:val="16"/>
          <w:szCs w:val="16"/>
          <w:color w:val="auto"/>
        </w:rPr>
        <w:t>”) or to the manufacture, processing, distribution, use, treatment, storage, disposal, transport or handling of Hazardous Materials (collectively, “</w:t>
      </w:r>
      <w:r>
        <w:rPr>
          <w:rFonts w:ascii="Times New Roman" w:cs="Times New Roman" w:eastAsia="Times New Roman" w:hAnsi="Times New Roman"/>
          <w:sz w:val="16"/>
          <w:szCs w:val="16"/>
          <w:b w:val="1"/>
          <w:bCs w:val="1"/>
          <w:color w:val="auto"/>
        </w:rPr>
        <w:t>Environmental Laws</w:t>
      </w:r>
      <w:r>
        <w:rPr>
          <w:rFonts w:ascii="Times New Roman" w:cs="Times New Roman" w:eastAsia="Times New Roman" w:hAnsi="Times New Roman"/>
          <w:sz w:val="16"/>
          <w:szCs w:val="16"/>
          <w:color w:val="auto"/>
        </w:rPr>
        <w:t>”); (ii) the Company and its subsidiaries have all permits, authorizations and approvals required under any applicable Environmental Laws and are each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to the Company’s knowledge,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117" w:lineRule="exact"/>
        <w:rPr>
          <w:sz w:val="20"/>
          <w:szCs w:val="20"/>
          <w:color w:val="auto"/>
        </w:rPr>
      </w:pPr>
    </w:p>
    <w:p>
      <w:pPr>
        <w:jc w:val="both"/>
        <w:ind w:firstLine="174"/>
        <w:spacing w:after="0" w:line="237" w:lineRule="auto"/>
        <w:tabs>
          <w:tab w:leader="none" w:pos="48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ERISA Compliance</w:t>
      </w:r>
      <w:r>
        <w:rPr>
          <w:rFonts w:ascii="Times New Roman" w:cs="Times New Roman" w:eastAsia="Times New Roman" w:hAnsi="Times New Roman"/>
          <w:sz w:val="16"/>
          <w:szCs w:val="16"/>
          <w:color w:val="auto"/>
        </w:rPr>
        <w:t>. Except as would not reasonably be expected, individually or in the aggregate, to result in a Material Adverse Change, (i) the Company and its subsidiaries and any “employee benefit plan” (as defined under the Employee Retirement Income Security Act of 1974, as amended, and the regulations and published interpretations thereunder (collectively, “ERISA”)) established or maintained by the Company, its subsidiaries or their “ERISA Affiliates” (as defined below) are in compliance in all material respects with ERISA; (ii) no “reportable event” (as defined under ERISA) has occurred or is reasonably expected to occur with respect to any “employee benefit plan” established or maintained by the Company, its subsidiaries or any of their ERISA Affiliates; (iii) no “employee benefit plan” established or maintained by the Company, its subsidiaries or any of their ERISA Affiliates, if such “employee benefit plan” were terminated, would have any “amount of unfunded benefit liabilities” (as defined under ERISA); (iv) neither the Company, its subsidiaries nor any of their ERISA Affiliates has incurred or reasonably expects to incur any liability under (x) Title IV of ERISA with respect to termination of, or withdrawal from, any “employee benefit plan” or (y) Sections 412, 4971, 4975 or 4980B of the Code; and (v)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 “ERISA Affiliate” means, with respect to the Company or any of its subsidiaries, any member of any group of organizations described in Sections 414(b), (c), (m) or (o) of the Internal Revenue Code of 1986, as amended, and the regulations and published interpretations thereunder (the “Code”) of which the Company or such subsidiary is a member.</w:t>
      </w:r>
    </w:p>
    <w:p>
      <w:pPr>
        <w:spacing w:after="0" w:line="117" w:lineRule="exact"/>
        <w:rPr>
          <w:rFonts w:ascii="Times New Roman" w:cs="Times New Roman" w:eastAsia="Times New Roman" w:hAnsi="Times New Roman"/>
          <w:sz w:val="16"/>
          <w:szCs w:val="16"/>
          <w:color w:val="auto"/>
        </w:rPr>
      </w:pPr>
    </w:p>
    <w:p>
      <w:pPr>
        <w:jc w:val="both"/>
        <w:ind w:firstLine="166"/>
        <w:spacing w:after="0" w:line="235" w:lineRule="auto"/>
        <w:tabs>
          <w:tab w:leader="none" w:pos="4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Not an “Investment Company</w:t>
      </w:r>
      <w:r>
        <w:rPr>
          <w:rFonts w:ascii="Times New Roman" w:cs="Times New Roman" w:eastAsia="Times New Roman" w:hAnsi="Times New Roman"/>
          <w:sz w:val="16"/>
          <w:szCs w:val="16"/>
          <w:color w:val="auto"/>
        </w:rPr>
        <w:t>.” The Company is not, and will not be, either after receipt of payment for the Shares or after the application of the proceeds therefrom as described under “Use of Proceeds” in the Registration Statement or the Prospectus, required to register as an “investment company” under the Investment Company Act of 1940, as amended (the “</w:t>
      </w:r>
      <w:r>
        <w:rPr>
          <w:rFonts w:ascii="Times New Roman" w:cs="Times New Roman" w:eastAsia="Times New Roman" w:hAnsi="Times New Roman"/>
          <w:sz w:val="16"/>
          <w:szCs w:val="16"/>
          <w:b w:val="1"/>
          <w:bCs w:val="1"/>
          <w:color w:val="auto"/>
        </w:rPr>
        <w:t>Investment Company Act</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jc w:val="both"/>
        <w:ind w:firstLine="166"/>
        <w:spacing w:after="0" w:line="230" w:lineRule="auto"/>
        <w:tabs>
          <w:tab w:leader="none" w:pos="47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Price Stabilization or Manipulation; Compliance with Regulation M</w:t>
      </w:r>
      <w:r>
        <w:rPr>
          <w:rFonts w:ascii="Times New Roman" w:cs="Times New Roman" w:eastAsia="Times New Roman" w:hAnsi="Times New Roman"/>
          <w:sz w:val="16"/>
          <w:szCs w:val="16"/>
          <w:color w:val="auto"/>
        </w:rPr>
        <w:t>. Neither the Company nor any of its subsidiaries has taken, directly or indirectly, any action designed to or that would reasonably be expected to cause or result in stabilization or manipulation of the price of the Ordinary Shares or of any “reference security” (as defined in Rule 100 of Regulation M under the Exchange Act (“</w:t>
      </w:r>
      <w:r>
        <w:rPr>
          <w:rFonts w:ascii="Times New Roman" w:cs="Times New Roman" w:eastAsia="Times New Roman" w:hAnsi="Times New Roman"/>
          <w:sz w:val="16"/>
          <w:szCs w:val="16"/>
          <w:b w:val="1"/>
          <w:bCs w:val="1"/>
          <w:color w:val="auto"/>
        </w:rPr>
        <w:t>Regulation M</w:t>
      </w:r>
      <w:r>
        <w:rPr>
          <w:rFonts w:ascii="Times New Roman" w:cs="Times New Roman" w:eastAsia="Times New Roman" w:hAnsi="Times New Roman"/>
          <w:sz w:val="16"/>
          <w:szCs w:val="16"/>
          <w:color w:val="auto"/>
        </w:rPr>
        <w:t>”)) with respect to the Ordinary Shares, whether to facilitate the sale or resale of the Shares or otherwise, and has taken no action which would directly or indirectly violate Regulation 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80"/>
          </w:cols>
          <w:pgMar w:left="300" w:top="1093" w:right="319" w:bottom="1440" w:gutter="0" w:footer="0" w:header="0"/>
        </w:sectPr>
      </w:pPr>
    </w:p>
    <w:bookmarkStart w:id="74" w:name="page75"/>
    <w:bookmarkEnd w:id="74"/>
    <w:p>
      <w:pPr>
        <w:ind w:firstLine="199"/>
        <w:spacing w:after="0" w:line="253" w:lineRule="auto"/>
        <w:tabs>
          <w:tab w:leader="none" w:pos="50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Related Party Transactions</w:t>
      </w:r>
      <w:r>
        <w:rPr>
          <w:rFonts w:ascii="Times New Roman" w:cs="Times New Roman" w:eastAsia="Times New Roman" w:hAnsi="Times New Roman"/>
          <w:sz w:val="16"/>
          <w:szCs w:val="16"/>
          <w:color w:val="auto"/>
        </w:rPr>
        <w:t>. There are no business relationships or related-party transactions involving the Company or any of its subsidiaries or any other person required to be described in the Registration Statement or the Prospectus that have not been described as required.</w:t>
      </w:r>
    </w:p>
    <w:p>
      <w:pPr>
        <w:spacing w:after="0" w:line="104" w:lineRule="exact"/>
        <w:rPr>
          <w:rFonts w:ascii="Times New Roman" w:cs="Times New Roman" w:eastAsia="Times New Roman" w:hAnsi="Times New Roman"/>
          <w:sz w:val="16"/>
          <w:szCs w:val="16"/>
          <w:color w:val="auto"/>
        </w:rPr>
      </w:pPr>
    </w:p>
    <w:p>
      <w:pPr>
        <w:jc w:val="both"/>
        <w:ind w:firstLine="256"/>
        <w:spacing w:after="0" w:line="230" w:lineRule="auto"/>
        <w:tabs>
          <w:tab w:leader="none" w:pos="534" w:val="left"/>
        </w:tabs>
        <w:numPr>
          <w:ilvl w:val="3"/>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FINRA Matters</w:t>
      </w:r>
      <w:r>
        <w:rPr>
          <w:rFonts w:ascii="Times New Roman" w:cs="Times New Roman" w:eastAsia="Times New Roman" w:hAnsi="Times New Roman"/>
          <w:sz w:val="16"/>
          <w:szCs w:val="16"/>
          <w:color w:val="auto"/>
        </w:rPr>
        <w:t>. All of the information provided to the Agent or to counsel for the Agent by the Company, its counsel, its officers and directors and, to the Company’s knowledge, the holders of any securities (debt or equity) or options to acquire any securities of the Company in connection with the offering of the Shares is true, complete and correct in all material respects and compliant with FINRA’s rules and any letters, filings or other supplemental information provided to FINRA pursuant to FINRA Rules or NASD Conduct Rules is true, complete and correct in all material respects.</w:t>
      </w:r>
    </w:p>
    <w:p>
      <w:pPr>
        <w:spacing w:after="0" w:line="115" w:lineRule="exact"/>
        <w:rPr>
          <w:rFonts w:ascii="Times New Roman" w:cs="Times New Roman" w:eastAsia="Times New Roman" w:hAnsi="Times New Roman"/>
          <w:sz w:val="16"/>
          <w:szCs w:val="16"/>
          <w:color w:val="auto"/>
        </w:rPr>
      </w:pPr>
    </w:p>
    <w:p>
      <w:pPr>
        <w:jc w:val="both"/>
        <w:ind w:firstLine="191"/>
        <w:spacing w:after="0" w:line="235" w:lineRule="auto"/>
        <w:tabs>
          <w:tab w:leader="none" w:pos="509" w:val="left"/>
        </w:tabs>
        <w:numPr>
          <w:ilvl w:val="3"/>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Statistical and Market-Related Data</w:t>
      </w:r>
      <w:r>
        <w:rPr>
          <w:rFonts w:ascii="Times New Roman" w:cs="Times New Roman" w:eastAsia="Times New Roman" w:hAnsi="Times New Roman"/>
          <w:sz w:val="16"/>
          <w:szCs w:val="16"/>
          <w:color w:val="auto"/>
        </w:rPr>
        <w:t>. All statistical, demographic and market-related data included in the Registration Statement or the Prospectus are based on or derived from sources that the Company believes, after reasonable inquiry, to be reliable and accurate in all material respects. To the extent required, the Company has obtained the written consent for the use of such data from such sources.</w:t>
      </w:r>
    </w:p>
    <w:p>
      <w:pPr>
        <w:spacing w:after="0" w:line="116" w:lineRule="exact"/>
        <w:rPr>
          <w:rFonts w:ascii="Times New Roman" w:cs="Times New Roman" w:eastAsia="Times New Roman" w:hAnsi="Times New Roman"/>
          <w:sz w:val="16"/>
          <w:szCs w:val="16"/>
          <w:color w:val="auto"/>
        </w:rPr>
      </w:pPr>
    </w:p>
    <w:p>
      <w:pPr>
        <w:jc w:val="both"/>
        <w:ind w:firstLine="174"/>
        <w:spacing w:after="0" w:line="235" w:lineRule="auto"/>
        <w:tabs>
          <w:tab w:leader="none" w:pos="489" w:val="left"/>
        </w:tabs>
        <w:numPr>
          <w:ilvl w:val="2"/>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Sarbanes-Oxley Act</w:t>
      </w:r>
      <w:r>
        <w:rPr>
          <w:rFonts w:ascii="Times New Roman" w:cs="Times New Roman" w:eastAsia="Times New Roman" w:hAnsi="Times New Roman"/>
          <w:sz w:val="16"/>
          <w:szCs w:val="16"/>
          <w:color w:val="auto"/>
        </w:rPr>
        <w:t>. There is, and has been, no failure on the part of the Company or any of its directors or officers, in their capacities as such, to comply with any applicable provision of the Sarbanes-Oxley Act of 2002, as amended and the rules and regulations promulgated in connection therewith, including Section 402 related to loans and Sections 302 and 906 related to certifications.</w:t>
      </w:r>
    </w:p>
    <w:p>
      <w:pPr>
        <w:spacing w:after="0" w:line="116" w:lineRule="exact"/>
        <w:rPr>
          <w:rFonts w:ascii="Times New Roman" w:cs="Times New Roman" w:eastAsia="Times New Roman" w:hAnsi="Times New Roman"/>
          <w:sz w:val="16"/>
          <w:szCs w:val="16"/>
          <w:color w:val="auto"/>
        </w:rPr>
      </w:pPr>
    </w:p>
    <w:p>
      <w:pPr>
        <w:jc w:val="both"/>
        <w:ind w:firstLine="207"/>
        <w:spacing w:after="0" w:line="235" w:lineRule="auto"/>
        <w:tabs>
          <w:tab w:leader="none" w:pos="457"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Unlawful Contributions or Other Payments</w:t>
      </w:r>
      <w:r>
        <w:rPr>
          <w:rFonts w:ascii="Times New Roman" w:cs="Times New Roman" w:eastAsia="Times New Roman" w:hAnsi="Times New Roman"/>
          <w:sz w:val="16"/>
          <w:szCs w:val="16"/>
          <w:color w:val="auto"/>
        </w:rPr>
        <w:t>. Neither the Company nor any of its subsidiaries nor, to the Company’s knowledge, any employee or agent of the Company or any subsidiary, has made any contribution or other payment to any official of, or candidate for, any federal, state or foreign office in violation of any applicable law or of the character required to be disclosed in the Registration Statement or the Prospectus.</w:t>
      </w:r>
    </w:p>
    <w:p>
      <w:pPr>
        <w:spacing w:after="0" w:line="116" w:lineRule="exact"/>
        <w:rPr>
          <w:rFonts w:ascii="Times New Roman" w:cs="Times New Roman" w:eastAsia="Times New Roman" w:hAnsi="Times New Roman"/>
          <w:sz w:val="16"/>
          <w:szCs w:val="16"/>
          <w:color w:val="auto"/>
        </w:rPr>
      </w:pPr>
    </w:p>
    <w:p>
      <w:pPr>
        <w:jc w:val="both"/>
        <w:ind w:firstLine="248"/>
        <w:spacing w:after="0" w:line="219" w:lineRule="auto"/>
        <w:tabs>
          <w:tab w:leader="none" w:pos="508" w:val="left"/>
        </w:tabs>
        <w:numPr>
          <w:ilvl w:val="2"/>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Anti-Corruption and Anti-Bribery Laws</w:t>
      </w:r>
      <w:r>
        <w:rPr>
          <w:rFonts w:ascii="Times New Roman" w:cs="Times New Roman" w:eastAsia="Times New Roman" w:hAnsi="Times New Roman"/>
          <w:sz w:val="16"/>
          <w:szCs w:val="16"/>
          <w:color w:val="auto"/>
        </w:rPr>
        <w:t>. Neither the Company nor any of its subsidiaries nor any director, officer, or employee of the 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 w:cs="Times New Roman" w:eastAsia="Times New Roman" w:hAnsi="Times New Roman"/>
          <w:sz w:val="16"/>
          <w:szCs w:val="16"/>
          <w:b w:val="1"/>
          <w:bCs w:val="1"/>
          <w:color w:val="auto"/>
        </w:rPr>
        <w:t>FCPA</w:t>
      </w:r>
      <w:r>
        <w:rPr>
          <w:rFonts w:ascii="Times New Roman" w:cs="Times New Roman" w:eastAsia="Times New Roman" w:hAnsi="Times New Roman"/>
          <w:sz w:val="16"/>
          <w:szCs w:val="16"/>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reasonably designed to ensure, and which are reasonably expected to continue to ensure, continued compliance therewith.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anti-bribery or anti-corruption laws.</w:t>
      </w:r>
    </w:p>
    <w:p>
      <w:pPr>
        <w:spacing w:after="0" w:line="119" w:lineRule="exact"/>
        <w:rPr>
          <w:rFonts w:ascii="Times New Roman" w:cs="Times New Roman" w:eastAsia="Times New Roman" w:hAnsi="Times New Roman"/>
          <w:sz w:val="16"/>
          <w:szCs w:val="16"/>
          <w:color w:val="auto"/>
        </w:rPr>
      </w:pPr>
    </w:p>
    <w:p>
      <w:pPr>
        <w:ind w:left="480" w:hanging="314"/>
        <w:spacing w:after="0"/>
        <w:tabs>
          <w:tab w:leader="none" w:pos="480" w:val="left"/>
        </w:tabs>
        <w:numPr>
          <w:ilvl w:val="2"/>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Money Laundering Laws.</w:t>
      </w:r>
      <w:r>
        <w:rPr>
          <w:rFonts w:ascii="Times New Roman" w:cs="Times New Roman" w:eastAsia="Times New Roman" w:hAnsi="Times New Roman"/>
          <w:sz w:val="16"/>
          <w:szCs w:val="16"/>
          <w:color w:val="auto"/>
        </w:rPr>
        <w:t xml:space="preserve"> The operations of the Company and its subsidiaries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80"/>
          </w:cols>
          <w:pgMar w:left="300" w:top="1257" w:right="319" w:bottom="1440" w:gutter="0" w:footer="0" w:header="0"/>
        </w:sectPr>
      </w:pPr>
    </w:p>
    <w:bookmarkStart w:id="75" w:name="page76"/>
    <w:bookmarkEnd w:id="75"/>
    <w:p>
      <w:pPr>
        <w:jc w:val="both"/>
        <w:spacing w:after="0" w:line="227" w:lineRule="auto"/>
        <w:rPr>
          <w:sz w:val="20"/>
          <w:szCs w:val="20"/>
          <w:color w:val="auto"/>
        </w:rPr>
      </w:pPr>
      <w:r>
        <w:rPr>
          <w:rFonts w:ascii="Times New Roman" w:cs="Times New Roman" w:eastAsia="Times New Roman" w:hAnsi="Times New Roman"/>
          <w:sz w:val="16"/>
          <w:szCs w:val="16"/>
          <w:color w:val="auto"/>
        </w:rPr>
        <w:t>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6"/>
          <w:szCs w:val="16"/>
          <w:b w:val="1"/>
          <w:bCs w:val="1"/>
          <w:color w:val="auto"/>
        </w:rPr>
        <w:t>Money Laundering Laws</w:t>
      </w:r>
      <w:r>
        <w:rPr>
          <w:rFonts w:ascii="Times New Roman" w:cs="Times New Roman" w:eastAsia="Times New Roman" w:hAnsi="Times New Roman"/>
          <w:sz w:val="16"/>
          <w:szCs w:val="16"/>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15" w:lineRule="exact"/>
        <w:rPr>
          <w:sz w:val="20"/>
          <w:szCs w:val="20"/>
          <w:color w:val="auto"/>
        </w:rPr>
      </w:pPr>
    </w:p>
    <w:p>
      <w:pPr>
        <w:jc w:val="both"/>
        <w:ind w:firstLine="215"/>
        <w:spacing w:after="0" w:line="239" w:lineRule="auto"/>
        <w:tabs>
          <w:tab w:leader="none" w:pos="467"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Sanctions</w:t>
      </w:r>
      <w:r>
        <w:rPr>
          <w:rFonts w:ascii="Times New Roman" w:cs="Times New Roman" w:eastAsia="Times New Roman" w:hAnsi="Times New Roman"/>
          <w:sz w:val="16"/>
          <w:szCs w:val="16"/>
          <w:color w:val="auto"/>
        </w:rPr>
        <w:t>. Neither the Company nor any of its subsidiaries, directors, officers or employees, nor, to the knowledge of the Company, any agent, affiliate or other person acting on behalf of the Company or any of its subsidiaries is currently the subject or the target of any U.S. sanctions administered by the Office of Foreign Assets Control of the U.S. Department of the Treasury (“</w:t>
      </w:r>
      <w:r>
        <w:rPr>
          <w:rFonts w:ascii="Times New Roman" w:cs="Times New Roman" w:eastAsia="Times New Roman" w:hAnsi="Times New Roman"/>
          <w:sz w:val="16"/>
          <w:szCs w:val="16"/>
          <w:b w:val="1"/>
          <w:bCs w:val="1"/>
          <w:color w:val="auto"/>
        </w:rPr>
        <w:t>OFAC</w:t>
      </w:r>
      <w:r>
        <w:rPr>
          <w:rFonts w:ascii="Times New Roman" w:cs="Times New Roman" w:eastAsia="Times New Roman" w:hAnsi="Times New Roman"/>
          <w:sz w:val="16"/>
          <w:szCs w:val="16"/>
          <w:color w:val="auto"/>
        </w:rPr>
        <w:t>”) or the U.S. Department of State, the United Nations Security Council, the European Union, His Majesty’s Treasury of the United Kingdom, or other relevant sanctions authority (collectively, “</w:t>
      </w:r>
      <w:r>
        <w:rPr>
          <w:rFonts w:ascii="Times New Roman" w:cs="Times New Roman" w:eastAsia="Times New Roman" w:hAnsi="Times New Roman"/>
          <w:sz w:val="16"/>
          <w:szCs w:val="16"/>
          <w:b w:val="1"/>
          <w:bCs w:val="1"/>
          <w:color w:val="auto"/>
        </w:rPr>
        <w:t>Sanctions</w:t>
      </w:r>
      <w:r>
        <w:rPr>
          <w:rFonts w:ascii="Times New Roman" w:cs="Times New Roman" w:eastAsia="Times New Roman" w:hAnsi="Times New Roman"/>
          <w:sz w:val="16"/>
          <w:szCs w:val="16"/>
          <w:color w:val="auto"/>
        </w:rPr>
        <w:t>”); nor is the Company or any of its subsidiaries located, organized or resident in a country or territory that is the subject or the target of comprehensive Sanctions (including Crimea, so-called Donetsk People’s Republic and so-called Luhansk People’s Republic regions of Ukraine, Cuba, Iran, Syria (prior to July 1, 2025) and North Korea) (collectively, the “</w:t>
      </w:r>
      <w:r>
        <w:rPr>
          <w:rFonts w:ascii="Times New Roman" w:cs="Times New Roman" w:eastAsia="Times New Roman" w:hAnsi="Times New Roman"/>
          <w:sz w:val="16"/>
          <w:szCs w:val="16"/>
          <w:b w:val="1"/>
          <w:bCs w:val="1"/>
          <w:color w:val="auto"/>
        </w:rPr>
        <w:t>Sanctioned Countries</w:t>
      </w:r>
      <w:r>
        <w:rPr>
          <w:rFonts w:ascii="Times New Roman" w:cs="Times New Roman" w:eastAsia="Times New Roman" w:hAnsi="Times New Roman"/>
          <w:sz w:val="16"/>
          <w:szCs w:val="16"/>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Since April 24, 2019,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18" w:lineRule="exact"/>
        <w:rPr>
          <w:sz w:val="20"/>
          <w:szCs w:val="20"/>
          <w:color w:val="auto"/>
        </w:rPr>
      </w:pPr>
    </w:p>
    <w:p>
      <w:pPr>
        <w:ind w:firstLine="199"/>
        <w:spacing w:after="0" w:line="253" w:lineRule="auto"/>
        <w:tabs>
          <w:tab w:leader="none" w:pos="61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Brokers</w:t>
      </w:r>
      <w:r>
        <w:rPr>
          <w:rFonts w:ascii="Times New Roman" w:cs="Times New Roman" w:eastAsia="Times New Roman" w:hAnsi="Times New Roman"/>
          <w:sz w:val="16"/>
          <w:szCs w:val="16"/>
          <w:color w:val="auto"/>
        </w:rPr>
        <w:t>. Except as otherwise disclosed in the Prospectus, there is no broker, finder or other party that is entitled to receive from the Company any brokerage or finder’s fee or other fee or commission as a result of any transactions contemplated by this Agreement.</w:t>
      </w:r>
    </w:p>
    <w:p>
      <w:pPr>
        <w:spacing w:after="0" w:line="104" w:lineRule="exact"/>
        <w:rPr>
          <w:sz w:val="20"/>
          <w:szCs w:val="20"/>
          <w:color w:val="auto"/>
        </w:rPr>
      </w:pPr>
    </w:p>
    <w:p>
      <w:pPr>
        <w:jc w:val="both"/>
        <w:ind w:firstLine="215"/>
        <w:spacing w:after="0" w:line="227" w:lineRule="auto"/>
        <w:tabs>
          <w:tab w:leader="none" w:pos="54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Forward-Looking Statements</w:t>
      </w:r>
      <w:r>
        <w:rPr>
          <w:rFonts w:ascii="Times New Roman" w:cs="Times New Roman" w:eastAsia="Times New Roman" w:hAnsi="Times New Roman"/>
          <w:sz w:val="16"/>
          <w:szCs w:val="16"/>
          <w:color w:val="auto"/>
        </w:rPr>
        <w:t>. 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was false or misleading.</w:t>
      </w:r>
    </w:p>
    <w:p>
      <w:pPr>
        <w:spacing w:after="0" w:line="114" w:lineRule="exact"/>
        <w:rPr>
          <w:rFonts w:ascii="Times New Roman" w:cs="Times New Roman" w:eastAsia="Times New Roman" w:hAnsi="Times New Roman"/>
          <w:sz w:val="16"/>
          <w:szCs w:val="16"/>
          <w:color w:val="auto"/>
        </w:rPr>
      </w:pPr>
    </w:p>
    <w:p>
      <w:pPr>
        <w:ind w:firstLine="174"/>
        <w:spacing w:after="0" w:line="253" w:lineRule="auto"/>
        <w:tabs>
          <w:tab w:leader="none" w:pos="489"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Outstanding Loans or Other Extensions of Credit</w:t>
      </w:r>
      <w:r>
        <w:rPr>
          <w:rFonts w:ascii="Times New Roman" w:cs="Times New Roman" w:eastAsia="Times New Roman" w:hAnsi="Times New Roman"/>
          <w:sz w:val="16"/>
          <w:szCs w:val="16"/>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104" w:lineRule="exact"/>
        <w:rPr>
          <w:rFonts w:ascii="Times New Roman" w:cs="Times New Roman" w:eastAsia="Times New Roman" w:hAnsi="Times New Roman"/>
          <w:sz w:val="16"/>
          <w:szCs w:val="16"/>
          <w:color w:val="auto"/>
        </w:rPr>
      </w:pPr>
    </w:p>
    <w:p>
      <w:pPr>
        <w:jc w:val="both"/>
        <w:ind w:firstLine="215"/>
        <w:spacing w:after="0" w:line="235" w:lineRule="auto"/>
        <w:tabs>
          <w:tab w:leader="none" w:pos="54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Cybersecurity</w:t>
      </w:r>
      <w:r>
        <w:rPr>
          <w:rFonts w:ascii="Times New Roman" w:cs="Times New Roman" w:eastAsia="Times New Roman" w:hAnsi="Times New Roman"/>
          <w:sz w:val="16"/>
          <w:szCs w:val="16"/>
          <w:color w:val="auto"/>
        </w:rPr>
        <w:t>. Except as would not be expected, individually or in the aggregate, to result in a Material Adverse Change: (i)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6"/>
          <w:szCs w:val="16"/>
          <w:b w:val="1"/>
          <w:bCs w:val="1"/>
          <w:color w:val="auto"/>
        </w:rPr>
        <w:t>IT Systems</w:t>
      </w:r>
      <w:r>
        <w:rPr>
          <w:rFonts w:ascii="Times New Roman" w:cs="Times New Roman" w:eastAsia="Times New Roman" w:hAnsi="Times New Roman"/>
          <w:sz w:val="16"/>
          <w:szCs w:val="16"/>
          <w:color w:val="auto"/>
        </w:rPr>
        <w:t>”) are adequate for, and operate and perform in all respects as required in connection with the operation of the business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80"/>
          </w:cols>
          <w:pgMar w:left="300" w:top="1093" w:right="319" w:bottom="1440" w:gutter="0" w:footer="0" w:header="0"/>
        </w:sectPr>
      </w:pPr>
    </w:p>
    <w:bookmarkStart w:id="76" w:name="page77"/>
    <w:bookmarkEnd w:id="76"/>
    <w:p>
      <w:pPr>
        <w:jc w:val="both"/>
        <w:spacing w:after="0" w:line="219" w:lineRule="auto"/>
        <w:rPr>
          <w:sz w:val="20"/>
          <w:szCs w:val="20"/>
          <w:color w:val="auto"/>
        </w:rPr>
      </w:pPr>
      <w:r>
        <w:rPr>
          <w:rFonts w:ascii="Times New Roman" w:cs="Times New Roman" w:eastAsia="Times New Roman" w:hAnsi="Times New Roman"/>
          <w:sz w:val="16"/>
          <w:szCs w:val="16"/>
          <w:color w:val="auto"/>
        </w:rPr>
        <w:t>Company and its subsidiaries as currently conducted, and are free and clear of all vulnerabilities, bugs, errors, defects, Trojan horses, time bombs, malware and other corruptants; (ii) the Company and its subsidiaries have implemented and maintained commercially reasonable and appropriate physical, technical and administrative controls, policies, procedures, and safeguards to maintain and protect the confidentiality, integrity, availability, privacy and security of Personal Data (defined below) and sensitive, confidential or regulated data of the Company or processed by the Company on behalf of third parties (collectively, “</w:t>
      </w:r>
      <w:r>
        <w:rPr>
          <w:rFonts w:ascii="Times New Roman" w:cs="Times New Roman" w:eastAsia="Times New Roman" w:hAnsi="Times New Roman"/>
          <w:sz w:val="16"/>
          <w:szCs w:val="16"/>
          <w:b w:val="1"/>
          <w:bCs w:val="1"/>
          <w:color w:val="auto"/>
        </w:rPr>
        <w:t>Confidential Data</w:t>
      </w:r>
      <w:r>
        <w:rPr>
          <w:rFonts w:ascii="Times New Roman" w:cs="Times New Roman" w:eastAsia="Times New Roman" w:hAnsi="Times New Roman"/>
          <w:sz w:val="16"/>
          <w:szCs w:val="16"/>
          <w:color w:val="auto"/>
        </w:rPr>
        <w:t>” (which, for clarity, includes Personal Data)) used or maintained in connection with their businesses as well as the integrity, availability, continuous operation, redundancy and security of all IT Systems. “</w:t>
      </w:r>
      <w:r>
        <w:rPr>
          <w:rFonts w:ascii="Times New Roman" w:cs="Times New Roman" w:eastAsia="Times New Roman" w:hAnsi="Times New Roman"/>
          <w:sz w:val="16"/>
          <w:szCs w:val="16"/>
          <w:b w:val="1"/>
          <w:bCs w:val="1"/>
          <w:color w:val="auto"/>
        </w:rPr>
        <w:t>Personal Data</w:t>
      </w:r>
      <w:r>
        <w:rPr>
          <w:rFonts w:ascii="Times New Roman" w:cs="Times New Roman" w:eastAsia="Times New Roman" w:hAnsi="Times New Roman"/>
          <w:sz w:val="16"/>
          <w:szCs w:val="16"/>
          <w:color w:val="auto"/>
        </w:rPr>
        <w:t>” means (i) a natural person’s name, street address, telephone number, e-mail address, passwords, photograph, social security number or tax identification number, driver’s license number, passport number, credit card number, bank information, or customer or account number; (ii) information that identifies, relates to, or may reasonably be used to identify an individual, household or device; (iii) any information which would constitute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6"/>
          <w:szCs w:val="16"/>
          <w:b w:val="1"/>
          <w:bCs w:val="1"/>
          <w:color w:val="auto"/>
        </w:rPr>
        <w:t>HIPAA</w:t>
      </w:r>
      <w:r>
        <w:rPr>
          <w:rFonts w:ascii="Times New Roman" w:cs="Times New Roman" w:eastAsia="Times New Roman" w:hAnsi="Times New Roman"/>
          <w:sz w:val="16"/>
          <w:szCs w:val="16"/>
          <w:color w:val="auto"/>
        </w:rPr>
        <w:t>”); and (iv) any information which would constitute “personal data,” “personal information” (or similar term) under applicable laws. Except as would not be expected, individually or in the aggregate, to result in a Material Adverse Change, since the Merger Date, and to the Company’s knowledge, prior to the Merger Date, there have been no violations, outages, breaches of, uses of or accesses to or other compromises of the IT Systems or Confidential Data.</w:t>
      </w:r>
    </w:p>
    <w:p>
      <w:pPr>
        <w:spacing w:after="0" w:line="119" w:lineRule="exact"/>
        <w:rPr>
          <w:sz w:val="20"/>
          <w:szCs w:val="20"/>
          <w:color w:val="auto"/>
        </w:rPr>
      </w:pPr>
    </w:p>
    <w:p>
      <w:pPr>
        <w:jc w:val="both"/>
        <w:ind w:firstLine="174"/>
        <w:spacing w:after="0" w:line="230" w:lineRule="auto"/>
        <w:tabs>
          <w:tab w:leader="none" w:pos="489"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Data Privacy Laws and other Data Obligations</w:t>
      </w:r>
      <w:r>
        <w:rPr>
          <w:rFonts w:ascii="Times New Roman" w:cs="Times New Roman" w:eastAsia="Times New Roman" w:hAnsi="Times New Roman"/>
          <w:sz w:val="16"/>
          <w:szCs w:val="16"/>
          <w:color w:val="auto"/>
        </w:rPr>
        <w:t>. Except as would not be expected, individually or in the aggregate, to result in a Material Adverse Change, the Company and its subsidiaries are, and at all times since the Merger Date have been, and to the Company’s knowledge, at all times prior to the Merger Date, in compliance with all applicable laws, regulations, judgments, orders, rules and contractual obligations regarding (i) the collection, use, storage, retention, disclosure, transfer, disposal, or any other processing (collectively “</w:t>
      </w:r>
      <w:r>
        <w:rPr>
          <w:rFonts w:ascii="Times New Roman" w:cs="Times New Roman" w:eastAsia="Times New Roman" w:hAnsi="Times New Roman"/>
          <w:sz w:val="16"/>
          <w:szCs w:val="16"/>
          <w:b w:val="1"/>
          <w:bCs w:val="1"/>
          <w:color w:val="auto"/>
        </w:rPr>
        <w:t>Process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Processing</w:t>
      </w:r>
      <w:r>
        <w:rPr>
          <w:rFonts w:ascii="Times New Roman" w:cs="Times New Roman" w:eastAsia="Times New Roman" w:hAnsi="Times New Roman"/>
          <w:sz w:val="16"/>
          <w:szCs w:val="16"/>
          <w:color w:val="auto"/>
        </w:rPr>
        <w:t>”) of Personal Data, including, to the extent applicable, HIPAA, the California Consumer Privacy Act (“</w:t>
      </w:r>
      <w:r>
        <w:rPr>
          <w:rFonts w:ascii="Times New Roman" w:cs="Times New Roman" w:eastAsia="Times New Roman" w:hAnsi="Times New Roman"/>
          <w:sz w:val="16"/>
          <w:szCs w:val="16"/>
          <w:b w:val="1"/>
          <w:bCs w:val="1"/>
          <w:color w:val="auto"/>
        </w:rPr>
        <w:t>CCPA</w:t>
      </w:r>
      <w:r>
        <w:rPr>
          <w:rFonts w:ascii="Times New Roman" w:cs="Times New Roman" w:eastAsia="Times New Roman" w:hAnsi="Times New Roman"/>
          <w:sz w:val="16"/>
          <w:szCs w:val="16"/>
          <w:color w:val="auto"/>
        </w:rPr>
        <w:t>”) and any other state laws regarding Personal Data, the European Union General Data Protection Regulation (“</w:t>
      </w:r>
      <w:r>
        <w:rPr>
          <w:rFonts w:ascii="Times New Roman" w:cs="Times New Roman" w:eastAsia="Times New Roman" w:hAnsi="Times New Roman"/>
          <w:sz w:val="16"/>
          <w:szCs w:val="16"/>
          <w:b w:val="1"/>
          <w:bCs w:val="1"/>
          <w:color w:val="auto"/>
        </w:rPr>
        <w:t>GDPR</w:t>
      </w:r>
      <w:r>
        <w:rPr>
          <w:rFonts w:ascii="Times New Roman" w:cs="Times New Roman" w:eastAsia="Times New Roman" w:hAnsi="Times New Roman"/>
          <w:sz w:val="16"/>
          <w:szCs w:val="16"/>
          <w:color w:val="auto"/>
        </w:rPr>
        <w:t>”) (EU 2016/679), and the UK GDPR (collectively, the “</w:t>
      </w:r>
      <w:r>
        <w:rPr>
          <w:rFonts w:ascii="Times New Roman" w:cs="Times New Roman" w:eastAsia="Times New Roman" w:hAnsi="Times New Roman"/>
          <w:sz w:val="16"/>
          <w:szCs w:val="16"/>
          <w:b w:val="1"/>
          <w:bCs w:val="1"/>
          <w:color w:val="auto"/>
        </w:rPr>
        <w:t>Privacy Laws</w:t>
      </w:r>
      <w:r>
        <w:rPr>
          <w:rFonts w:ascii="Times New Roman" w:cs="Times New Roman" w:eastAsia="Times New Roman" w:hAnsi="Times New Roman"/>
          <w:sz w:val="16"/>
          <w:szCs w:val="16"/>
          <w:color w:val="auto"/>
        </w:rPr>
        <w:t>”); (ii) the privacy, availability, integrity or security of Confidential Data; or (iii) the privacy, availability, integrity or security of the IT Systems. Except as would not be expected, individually or in the aggregate, to result in a Material Adverse Change: (i) the Company and its subsidiaries have, at all times since the Merger Date and, to the Company’s knowledge, at all times prior to the Merger Date, in place and comply with their written policies, procedures, statements and representations relating to data privacy and security, and the Processing of Confidential Data (the “</w:t>
      </w:r>
      <w:r>
        <w:rPr>
          <w:rFonts w:ascii="Times New Roman" w:cs="Times New Roman" w:eastAsia="Times New Roman" w:hAnsi="Times New Roman"/>
          <w:sz w:val="16"/>
          <w:szCs w:val="16"/>
          <w:b w:val="1"/>
          <w:bCs w:val="1"/>
          <w:color w:val="auto"/>
        </w:rPr>
        <w:t>Privacy Statements</w:t>
      </w:r>
      <w:r>
        <w:rPr>
          <w:rFonts w:ascii="Times New Roman" w:cs="Times New Roman" w:eastAsia="Times New Roman" w:hAnsi="Times New Roman"/>
          <w:sz w:val="16"/>
          <w:szCs w:val="16"/>
          <w:color w:val="auto"/>
        </w:rPr>
        <w:t>”); (ii) at all times since the Merger Date, and to the Company’s knowledge, at all times prior to the Merger Date, the Company and its subsidiaries have made available its Privacy Statements then in effect to all individuals as required by Privacy Laws; (iii) each of the Privacy Statements provided accurate, complete and sufficient notice of the Company’s and its subsidiaries’ then-applicable privacy practices and Processing relating to its subject matter and such Policies do not contain any misrepresentations or omissions; and (iv) neither the Company nor any subsidiary: (a) has since the Merger Date and, to the Company’s knowledge, prior to the Merger Date, received written notice of any actual or potential claim, complaint, proceeding, or regulatory proceeding under or relating to, or actual or potential violation of, any of the Privacy Laws or contracts related to the Processing of Confidential Data; (b) is currently conducting or paying for, in whole or in part, any investigation, remediation, or other corrective action imposed by any Governmental Entity pursuant to any Privacy Law or contract; or (c) is a party to any order, decree, or agreement that imposes any obligation or liability by any Governmental Entity under any Privacy Law. The Company and its subsidiaries (Y) are not a “covered person”; and (Z) except for transactions conducted in compliance with, as applicable, the U.S. Data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280"/>
          </w:cols>
          <w:pgMar w:left="300" w:top="1093" w:right="319" w:bottom="1440" w:gutter="0" w:footer="0" w:header="0"/>
        </w:sectPr>
      </w:pPr>
    </w:p>
    <w:bookmarkStart w:id="77" w:name="page78"/>
    <w:bookmarkEnd w:id="77"/>
    <w:p>
      <w:pPr>
        <w:jc w:val="both"/>
        <w:spacing w:after="0" w:line="230" w:lineRule="auto"/>
        <w:rPr>
          <w:sz w:val="20"/>
          <w:szCs w:val="20"/>
          <w:color w:val="auto"/>
        </w:rPr>
      </w:pPr>
      <w:r>
        <w:rPr>
          <w:rFonts w:ascii="Times New Roman" w:cs="Times New Roman" w:eastAsia="Times New Roman" w:hAnsi="Times New Roman"/>
          <w:sz w:val="16"/>
          <w:szCs w:val="16"/>
          <w:color w:val="auto"/>
        </w:rPr>
        <w:t>Program, have not provided “access” to any “bulk U.S. sensitive personal data” or “government-related data” to any “covered person” or “country of concern” (in each case, (Y) and (Z) as such terms are defined by the final rule promulgated by the U.S. Department of Justice titled “Access to U.S. Sensitive Personal Data and Government-Related Data by Countries of Concern or Covered Persons,” 90 Fed. Reg. 1636 (Jan. 8, 2025) codified at 28 C.F.R. Part 202, including any amendments thereto and guidance issued thereunder (together, the “</w:t>
      </w:r>
      <w:r>
        <w:rPr>
          <w:rFonts w:ascii="Times New Roman" w:cs="Times New Roman" w:eastAsia="Times New Roman" w:hAnsi="Times New Roman"/>
          <w:sz w:val="16"/>
          <w:szCs w:val="16"/>
          <w:b w:val="1"/>
          <w:bCs w:val="1"/>
          <w:color w:val="auto"/>
        </w:rPr>
        <w:t>U.S. Data Security Program</w:t>
      </w:r>
      <w:r>
        <w:rPr>
          <w:rFonts w:ascii="Times New Roman" w:cs="Times New Roman" w:eastAsia="Times New Roman" w:hAnsi="Times New Roman"/>
          <w:sz w:val="16"/>
          <w:szCs w:val="16"/>
          <w:color w:val="auto"/>
        </w:rPr>
        <w:t>”).</w:t>
      </w:r>
    </w:p>
    <w:p>
      <w:pPr>
        <w:spacing w:after="0" w:line="111" w:lineRule="exact"/>
        <w:rPr>
          <w:sz w:val="20"/>
          <w:szCs w:val="20"/>
          <w:color w:val="auto"/>
        </w:rPr>
      </w:pPr>
    </w:p>
    <w:p>
      <w:pPr>
        <w:jc w:val="both"/>
        <w:ind w:firstLine="273"/>
        <w:spacing w:after="0" w:line="221" w:lineRule="auto"/>
        <w:tabs>
          <w:tab w:leader="none" w:pos="557"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Clinical Data and Regulatory Compliance</w:t>
      </w:r>
      <w:r>
        <w:rPr>
          <w:rFonts w:ascii="Times New Roman" w:cs="Times New Roman" w:eastAsia="Times New Roman" w:hAnsi="Times New Roman"/>
          <w:sz w:val="16"/>
          <w:szCs w:val="16"/>
          <w:color w:val="auto"/>
        </w:rPr>
        <w:t>. The preclinical tests and clinical trials, and other studies (collectively, “</w:t>
      </w:r>
      <w:r>
        <w:rPr>
          <w:rFonts w:ascii="Times New Roman" w:cs="Times New Roman" w:eastAsia="Times New Roman" w:hAnsi="Times New Roman"/>
          <w:sz w:val="16"/>
          <w:szCs w:val="16"/>
          <w:b w:val="1"/>
          <w:bCs w:val="1"/>
          <w:color w:val="auto"/>
        </w:rPr>
        <w:t>studies</w:t>
      </w:r>
      <w:r>
        <w:rPr>
          <w:rFonts w:ascii="Times New Roman" w:cs="Times New Roman" w:eastAsia="Times New Roman" w:hAnsi="Times New Roman"/>
          <w:sz w:val="16"/>
          <w:szCs w:val="16"/>
          <w:color w:val="auto"/>
        </w:rPr>
        <w:t>”) sponsored or conducted by the Company and its subsidiaries, that are described in, or the results of which are referred to in, the Registration Statement or the Prospectus were and, if still pending, are being conducted in all material respects in accordance with all applicable Health Care Laws (as defined below); each description of the results of such studies is accurate in all material respects and the Company and its subsidiaries have no knowledge of any other studies the results of which are inconsistent with, or otherwise call into question in any material respect, the results described or referred to in the Registration Statement or the Prospectus; the Company and its subsidiaries have made all such material filings and obtained all such approvals as may be required by the Food and Drug Administration of the U.S. Department of Health and Human Services or any committee thereof or from any comparable U.S. or foreign drug regulatory agency, or health care facility Institutional Review Board (collectively, the “</w:t>
      </w:r>
      <w:r>
        <w:rPr>
          <w:rFonts w:ascii="Times New Roman" w:cs="Times New Roman" w:eastAsia="Times New Roman" w:hAnsi="Times New Roman"/>
          <w:sz w:val="16"/>
          <w:szCs w:val="16"/>
          <w:b w:val="1"/>
          <w:bCs w:val="1"/>
          <w:color w:val="auto"/>
        </w:rPr>
        <w:t>Regulatory Agencies</w:t>
      </w:r>
      <w:r>
        <w:rPr>
          <w:rFonts w:ascii="Times New Roman" w:cs="Times New Roman" w:eastAsia="Times New Roman" w:hAnsi="Times New Roman"/>
          <w:sz w:val="16"/>
          <w:szCs w:val="16"/>
          <w:color w:val="auto"/>
        </w:rPr>
        <w:t>”) for the conduct of such studies; neither the Company nor any of its subsidiaries has received any written notice of, or written correspondence from, any Regulatory Agency requiring the termination or suspension of any ongoing or proposed studies.</w:t>
      </w:r>
    </w:p>
    <w:p>
      <w:pPr>
        <w:spacing w:after="0" w:line="120" w:lineRule="exact"/>
        <w:rPr>
          <w:rFonts w:ascii="Times New Roman" w:cs="Times New Roman" w:eastAsia="Times New Roman" w:hAnsi="Times New Roman"/>
          <w:sz w:val="16"/>
          <w:szCs w:val="16"/>
          <w:color w:val="auto"/>
        </w:rPr>
      </w:pPr>
    </w:p>
    <w:p>
      <w:pPr>
        <w:jc w:val="both"/>
        <w:ind w:firstLine="199"/>
        <w:spacing w:after="0" w:line="231" w:lineRule="auto"/>
        <w:tabs>
          <w:tab w:leader="none" w:pos="483"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Health Care Laws</w:t>
      </w:r>
      <w:r>
        <w:rPr>
          <w:rFonts w:ascii="Times New Roman" w:cs="Times New Roman" w:eastAsia="Times New Roman" w:hAnsi="Times New Roman"/>
          <w:sz w:val="16"/>
          <w:szCs w:val="16"/>
          <w:color w:val="auto"/>
        </w:rPr>
        <w:t>. The Company and its subsidiaries are, and at all times since the Merger Date, and to the Company’s knowledge, prior to the Merger Date, have been, in compliance with all applicable Health Care Laws, except where the failures to comply would not reasonably be expected, individually or in the aggregate, to result in a Material Adverse Change. For purposes of this Agreement, “Health Care Laws” means: (i) the Federal Food, Drug, and Cosmetic Act (21 U.S.C. Section 301 et seq.), the Public Health Service Act (42 U.S.C. Section 262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HIPAA (42 U.S.C. Section 1320d et seq.), the civil monetary penalties law (42 U.S.C. Section 1320a-7a), the exclusion law (42 U.S.C. Section 1320a-7), the Physician Payments Sunshine Act (42 U.S.C. Section 1320-7h), and applicable laws governing government funded or sponsored healthcare programs; (iii) all other comparable local, state, federal, national, supranational and foreign laws, and (iv) the directives and regulations promulgated pursuant to such statutes and any state or non-U.S. counterpart thereof. Since the Merger Date, and to the Company’s knowledge, prior to the Merger Date,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which if resolved adversely to the Company or its subsidiaries, would reasonably be expected to result in a Material Adverse Change nor, to the Company’s knowledge, is any such claim, action, suit, proceeding, hearing, enforcement, investigation, arbitration or other action threatened. Except as would not, whether individually or in the aggregate, reasonably be expected to result in a Material Adverse Change, since the Merger Date, and to the Company’s knowledge, prior to the Merger Date, the Company and its subsidiaries have filed, maintained or submitted all reports, documents, forms, notices, applications, records, claims, submissions and supplements or amendments as required by any applicable Health Care Laws, and all such reports,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280"/>
          </w:cols>
          <w:pgMar w:left="300" w:top="1093" w:right="319" w:bottom="1440" w:gutter="0" w:footer="0" w:header="0"/>
        </w:sectPr>
      </w:pPr>
    </w:p>
    <w:bookmarkStart w:id="78" w:name="page79"/>
    <w:bookmarkEnd w:id="78"/>
    <w:p>
      <w:pPr>
        <w:jc w:val="both"/>
        <w:spacing w:after="0" w:line="223" w:lineRule="auto"/>
        <w:rPr>
          <w:sz w:val="20"/>
          <w:szCs w:val="20"/>
          <w:color w:val="auto"/>
        </w:rPr>
      </w:pPr>
      <w:r>
        <w:rPr>
          <w:rFonts w:ascii="Times New Roman" w:cs="Times New Roman" w:eastAsia="Times New Roman" w:hAnsi="Times New Roman"/>
          <w:sz w:val="16"/>
          <w:szCs w:val="16"/>
          <w:color w:val="auto"/>
        </w:rPr>
        <w:t>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since the Merger Date, and to the Company’s knowledge, prior to the Merger Date, none of the Company, any of its subsidiaries or any of their respective employees, officers, directors or, to the Company’s knowledge, agents has been or is currently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116" w:lineRule="exact"/>
        <w:rPr>
          <w:sz w:val="20"/>
          <w:szCs w:val="20"/>
          <w:color w:val="auto"/>
        </w:rPr>
      </w:pPr>
    </w:p>
    <w:p>
      <w:pPr>
        <w:jc w:val="both"/>
        <w:ind w:firstLine="191"/>
        <w:spacing w:after="0"/>
        <w:tabs>
          <w:tab w:leader="none" w:pos="43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Dividend Restrictions</w:t>
      </w:r>
      <w:r>
        <w:rPr>
          <w:rFonts w:ascii="Times New Roman" w:cs="Times New Roman" w:eastAsia="Times New Roman" w:hAnsi="Times New Roman"/>
          <w:sz w:val="16"/>
          <w:szCs w:val="16"/>
          <w:color w:val="auto"/>
        </w:rPr>
        <w:t>.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268" w:lineRule="exact"/>
        <w:rPr>
          <w:rFonts w:ascii="Times New Roman" w:cs="Times New Roman" w:eastAsia="Times New Roman" w:hAnsi="Times New Roman"/>
          <w:sz w:val="16"/>
          <w:szCs w:val="16"/>
          <w:color w:val="auto"/>
        </w:rPr>
      </w:pPr>
    </w:p>
    <w:p>
      <w:pPr>
        <w:jc w:val="both"/>
        <w:ind w:firstLine="224"/>
        <w:spacing w:after="0" w:line="227" w:lineRule="auto"/>
        <w:tabs>
          <w:tab w:leader="none" w:pos="55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Outbound Investment Security Program</w:t>
      </w:r>
      <w:r>
        <w:rPr>
          <w:rFonts w:ascii="Times New Roman" w:cs="Times New Roman" w:eastAsia="Times New Roman" w:hAnsi="Times New Roman"/>
          <w:sz w:val="16"/>
          <w:szCs w:val="16"/>
          <w:color w:val="auto"/>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31 C.F.R. § 850.208 (“</w:t>
      </w:r>
      <w:r>
        <w:rPr>
          <w:rFonts w:ascii="Times New Roman" w:cs="Times New Roman" w:eastAsia="Times New Roman" w:hAnsi="Times New Roman"/>
          <w:sz w:val="16"/>
          <w:szCs w:val="16"/>
          <w:b w:val="1"/>
          <w:bCs w:val="1"/>
          <w:color w:val="auto"/>
        </w:rPr>
        <w:t>Covered Activity</w:t>
      </w:r>
      <w:r>
        <w:rPr>
          <w:rFonts w:ascii="Times New Roman" w:cs="Times New Roman" w:eastAsia="Times New Roman" w:hAnsi="Times New Roman"/>
          <w:sz w:val="16"/>
          <w:szCs w:val="16"/>
          <w:color w:val="auto"/>
        </w:rPr>
        <w:t>”).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 or plan to engage in any Covered Activity.</w:t>
      </w:r>
    </w:p>
    <w:p>
      <w:pPr>
        <w:spacing w:after="0" w:line="115" w:lineRule="exact"/>
        <w:rPr>
          <w:sz w:val="20"/>
          <w:szCs w:val="20"/>
          <w:color w:val="auto"/>
        </w:rPr>
      </w:pPr>
    </w:p>
    <w:p>
      <w:pPr>
        <w:jc w:val="both"/>
        <w:ind w:firstLine="174"/>
        <w:spacing w:after="0" w:line="230" w:lineRule="auto"/>
        <w:tabs>
          <w:tab w:leader="none" w:pos="489"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Proper Form</w:t>
      </w:r>
      <w:r>
        <w:rPr>
          <w:rFonts w:ascii="Arial" w:cs="Arial" w:eastAsia="Arial" w:hAnsi="Arial"/>
          <w:sz w:val="13"/>
          <w:szCs w:val="13"/>
          <w:color w:val="auto"/>
        </w:rPr>
        <w:t>.</w:t>
      </w:r>
      <w:r>
        <w:rPr>
          <w:rFonts w:ascii="Times New Roman" w:cs="Times New Roman" w:eastAsia="Times New Roman" w:hAnsi="Times New Roman"/>
          <w:sz w:val="16"/>
          <w:szCs w:val="16"/>
          <w:color w:val="auto"/>
        </w:rPr>
        <w:t xml:space="preserve"> This Agreement is in proper form to be enforceable in the Cayman Islands in accordance with its terms; to ensure the legality, validity, enforceability or admissibility into evidence in the Cayman Islands of this Agreement it is not necessary that this Agreement be filed or recorded with any court or other authority in the Cayman Islands (other than court filings in the ordinary course of proceedings) or that any stamp or similar tax in the Cayman Islands (other than court fees or similar documentary tax payable in the ordinary course of proceedings) be paid on or in respect of this Agreement or any other documents to be furnished hereunder or thereunder.</w:t>
      </w:r>
    </w:p>
    <w:p>
      <w:pPr>
        <w:spacing w:after="0" w:line="115" w:lineRule="exact"/>
        <w:rPr>
          <w:rFonts w:ascii="Times New Roman" w:cs="Times New Roman" w:eastAsia="Times New Roman" w:hAnsi="Times New Roman"/>
          <w:sz w:val="16"/>
          <w:szCs w:val="16"/>
          <w:color w:val="auto"/>
        </w:rPr>
      </w:pPr>
    </w:p>
    <w:p>
      <w:pPr>
        <w:jc w:val="both"/>
        <w:ind w:firstLine="174"/>
        <w:spacing w:after="0"/>
        <w:tabs>
          <w:tab w:leader="none" w:pos="56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Immunity</w:t>
      </w:r>
      <w:r>
        <w:rPr>
          <w:rFonts w:ascii="Times New Roman" w:cs="Times New Roman" w:eastAsia="Times New Roman" w:hAnsi="Times New Roman"/>
          <w:sz w:val="16"/>
          <w:szCs w:val="16"/>
          <w:color w:val="auto"/>
        </w:rPr>
        <w:t xml:space="preserve">. Neither the Company nor any of its subsidiaries has any right of immunity under New York or United States law or the law of the Cayman Islands, from any legal action, suit or proceeding, from the giving of any relief in any such legal action, suit or proceeding, from set-off or counterclaim, from the jurisdiction of any New York or United States federal court or court in the Cayman Islands,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To the extent that the Company or any of its subsidiaries may have or may hereafter become entitled to any such right of immunity in any such court in which proceedings may at any time be commenced, the Company and any such subsidiary waives or will waive such right to the extent permitted by law and has consented to such relief and enforcement as provided in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8(g)</w:t>
      </w:r>
      <w:r>
        <w:rPr>
          <w:rFonts w:ascii="Times New Roman" w:cs="Times New Roman" w:eastAsia="Times New Roman" w:hAnsi="Times New Roman"/>
          <w:sz w:val="16"/>
          <w:szCs w:val="16"/>
          <w:color w:val="auto"/>
        </w:rPr>
        <w:t xml:space="preserve"> of this Agreement.</w:t>
      </w:r>
    </w:p>
    <w:p>
      <w:pPr>
        <w:spacing w:after="0" w:line="189" w:lineRule="exact"/>
        <w:rPr>
          <w:rFonts w:ascii="Times New Roman" w:cs="Times New Roman" w:eastAsia="Times New Roman" w:hAnsi="Times New Roman"/>
          <w:sz w:val="16"/>
          <w:szCs w:val="16"/>
          <w:color w:val="auto"/>
        </w:rPr>
      </w:pPr>
    </w:p>
    <w:p>
      <w:pPr>
        <w:ind w:left="480" w:hanging="314"/>
        <w:spacing w:after="0"/>
        <w:tabs>
          <w:tab w:leader="none" w:pos="4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Underwriting Agreements</w:t>
      </w:r>
      <w:r>
        <w:rPr>
          <w:rFonts w:ascii="Times New Roman" w:cs="Times New Roman" w:eastAsia="Times New Roman" w:hAnsi="Times New Roman"/>
          <w:sz w:val="16"/>
          <w:szCs w:val="16"/>
          <w:color w:val="auto"/>
        </w:rPr>
        <w:t>. The Company is not a party to 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280"/>
          </w:cols>
          <w:pgMar w:left="300" w:top="1093"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color w:val="auto"/>
        </w:rPr>
        <w:t>with an agent or underwriter for any other “at the market” or continuous equity transaction.</w:t>
      </w:r>
    </w:p>
    <w:p>
      <w:pPr>
        <w:spacing w:after="0" w:line="144" w:lineRule="exact"/>
        <w:rPr>
          <w:sz w:val="20"/>
          <w:szCs w:val="20"/>
          <w:color w:val="auto"/>
        </w:rPr>
      </w:pPr>
    </w:p>
    <w:p>
      <w:pPr>
        <w:jc w:val="both"/>
        <w:ind w:firstLine="232"/>
        <w:spacing w:after="0" w:line="227" w:lineRule="auto"/>
        <w:tabs>
          <w:tab w:leader="none" w:pos="561"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Valid Choice of Law</w:t>
      </w:r>
      <w:r>
        <w:rPr>
          <w:rFonts w:ascii="Times New Roman" w:cs="Times New Roman" w:eastAsia="Times New Roman" w:hAnsi="Times New Roman"/>
          <w:sz w:val="16"/>
          <w:szCs w:val="16"/>
          <w:color w:val="auto"/>
        </w:rPr>
        <w:t xml:space="preserve">. The Company has the power to submit, and pursuant to </w:t>
      </w:r>
      <w:r>
        <w:rPr>
          <w:rFonts w:ascii="Times New Roman" w:cs="Times New Roman" w:eastAsia="Times New Roman" w:hAnsi="Times New Roman"/>
          <w:sz w:val="16"/>
          <w:szCs w:val="16"/>
          <w:u w:val="single" w:color="auto"/>
          <w:color w:val="auto"/>
        </w:rPr>
        <w:t>Section 8(g)</w:t>
      </w:r>
      <w:r>
        <w:rPr>
          <w:rFonts w:ascii="Times New Roman" w:cs="Times New Roman" w:eastAsia="Times New Roman" w:hAnsi="Times New Roman"/>
          <w:sz w:val="16"/>
          <w:szCs w:val="16"/>
          <w:color w:val="auto"/>
        </w:rPr>
        <w:t xml:space="preserve"> of this Agreement, has legally, validly, effectively and irrevocably submitted, to the personal jurisdiction of the Specified Courts (as defined below), and the Company has the power to designate, appoint and authorize, and pursuant to </w:t>
      </w:r>
      <w:r>
        <w:rPr>
          <w:rFonts w:ascii="Times New Roman" w:cs="Times New Roman" w:eastAsia="Times New Roman" w:hAnsi="Times New Roman"/>
          <w:sz w:val="16"/>
          <w:szCs w:val="16"/>
          <w:u w:val="single" w:color="auto"/>
          <w:color w:val="auto"/>
        </w:rPr>
        <w:t>Section 8(g)</w:t>
      </w:r>
      <w:r>
        <w:rPr>
          <w:rFonts w:ascii="Times New Roman" w:cs="Times New Roman" w:eastAsia="Times New Roman" w:hAnsi="Times New Roman"/>
          <w:sz w:val="16"/>
          <w:szCs w:val="16"/>
          <w:color w:val="auto"/>
        </w:rPr>
        <w:t xml:space="preserve"> of this Agreement, has legally, validly, effectively and irrevocably designated, appointed and authorized an agent for service of process in any action arising out of or relating to this Agreement in any Specified Court, and service of process effected on such authorized agent will be effective to confer valid personal jurisdiction over the Company as provided in </w:t>
      </w:r>
      <w:r>
        <w:rPr>
          <w:rFonts w:ascii="Times New Roman" w:cs="Times New Roman" w:eastAsia="Times New Roman" w:hAnsi="Times New Roman"/>
          <w:sz w:val="16"/>
          <w:szCs w:val="16"/>
          <w:u w:val="single" w:color="auto"/>
          <w:color w:val="auto"/>
        </w:rPr>
        <w:t>Section 8(g)</w:t>
      </w:r>
      <w:r>
        <w:rPr>
          <w:rFonts w:ascii="Times New Roman" w:cs="Times New Roman" w:eastAsia="Times New Roman" w:hAnsi="Times New Roman"/>
          <w:sz w:val="16"/>
          <w:szCs w:val="16"/>
          <w:color w:val="auto"/>
        </w:rPr>
        <w:t xml:space="preserve"> hereof.</w:t>
      </w:r>
    </w:p>
    <w:p>
      <w:pPr>
        <w:spacing w:after="0" w:line="114" w:lineRule="exact"/>
        <w:rPr>
          <w:rFonts w:ascii="Times New Roman" w:cs="Times New Roman" w:eastAsia="Times New Roman" w:hAnsi="Times New Roman"/>
          <w:sz w:val="16"/>
          <w:szCs w:val="16"/>
          <w:color w:val="auto"/>
        </w:rPr>
      </w:pPr>
    </w:p>
    <w:p>
      <w:pPr>
        <w:jc w:val="both"/>
        <w:ind w:firstLine="174"/>
        <w:spacing w:after="0" w:line="224" w:lineRule="auto"/>
        <w:tabs>
          <w:tab w:leader="none" w:pos="47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Final Judgments</w:t>
      </w:r>
      <w:r>
        <w:rPr>
          <w:rFonts w:ascii="Times New Roman" w:cs="Times New Roman" w:eastAsia="Times New Roman" w:hAnsi="Times New Roman"/>
          <w:sz w:val="16"/>
          <w:szCs w:val="16"/>
          <w:color w:val="auto"/>
        </w:rPr>
        <w:t>. Any final judgment for a fixed or readily calculable sum of money rendered by a Specified Court having jurisdiction under its own domestic laws in respect of any suit, action or proceeding against the Company based upon this Agreement and any instruments or agreements entered into for the consummation of the transactions contemplated herein would be enforceable against the Company without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penalty; and (E) was not obtained in a manner and is not of a kind the enforcement of which is contrary to natural justice or the public policy of the Cayman Islands.</w:t>
      </w:r>
    </w:p>
    <w:p>
      <w:pPr>
        <w:spacing w:after="0" w:line="11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6"/>
          <w:szCs w:val="16"/>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04" w:lineRule="exact"/>
        <w:rPr>
          <w:sz w:val="20"/>
          <w:szCs w:val="20"/>
          <w:color w:val="auto"/>
        </w:rPr>
      </w:pPr>
    </w:p>
    <w:p>
      <w:pPr>
        <w:jc w:val="both"/>
        <w:ind w:firstLine="492"/>
        <w:spacing w:after="0" w:line="235" w:lineRule="auto"/>
        <w:rPr>
          <w:sz w:val="20"/>
          <w:szCs w:val="20"/>
          <w:color w:val="auto"/>
        </w:rPr>
      </w:pPr>
      <w:r>
        <w:rPr>
          <w:rFonts w:ascii="Times New Roman" w:cs="Times New Roman" w:eastAsia="Times New Roman" w:hAnsi="Times New Roman"/>
          <w:sz w:val="16"/>
          <w:szCs w:val="16"/>
          <w:color w:val="auto"/>
        </w:rPr>
        <w:t xml:space="preserve">The Company has a reasonable basis for making each of the representations set forth in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The Company acknowledges that the Agent and, for purposes of the opinions to be delivered pursuant to </w:t>
      </w:r>
      <w:r>
        <w:rPr>
          <w:rFonts w:ascii="Times New Roman" w:cs="Times New Roman" w:eastAsia="Times New Roman" w:hAnsi="Times New Roman"/>
          <w:sz w:val="16"/>
          <w:szCs w:val="16"/>
          <w:u w:val="single" w:color="auto"/>
          <w:color w:val="auto"/>
        </w:rPr>
        <w:t>Section 4(o)</w:t>
      </w:r>
      <w:r>
        <w:rPr>
          <w:rFonts w:ascii="Times New Roman" w:cs="Times New Roman" w:eastAsia="Times New Roman" w:hAnsi="Times New Roman"/>
          <w:sz w:val="16"/>
          <w:szCs w:val="16"/>
          <w:color w:val="auto"/>
        </w:rPr>
        <w:t xml:space="preserve"> hereof, counsel to the Company and counsel to the Agent, will rely upon the accuracy and truthfulness of the foregoing representations and hereby consents to such reliance.</w:t>
      </w:r>
    </w:p>
    <w:p>
      <w:pPr>
        <w:spacing w:after="0" w:line="112"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6"/>
          <w:szCs w:val="16"/>
          <w:b w:val="1"/>
          <w:bCs w:val="1"/>
          <w:color w:val="auto"/>
        </w:rPr>
        <w:t>Section 3.</w:t>
      </w:r>
      <w:r>
        <w:rPr>
          <w:sz w:val="20"/>
          <w:szCs w:val="20"/>
          <w:color w:val="auto"/>
        </w:rPr>
        <w:tab/>
      </w:r>
      <w:r>
        <w:rPr>
          <w:rFonts w:ascii="Times New Roman" w:cs="Times New Roman" w:eastAsia="Times New Roman" w:hAnsi="Times New Roman"/>
          <w:sz w:val="16"/>
          <w:szCs w:val="16"/>
          <w:b w:val="1"/>
          <w:bCs w:val="1"/>
          <w:color w:val="auto"/>
        </w:rPr>
        <w:t>ISSUANCE AND SALE OF ORDINARY SHARES</w:t>
      </w:r>
    </w:p>
    <w:p>
      <w:pPr>
        <w:spacing w:after="0" w:line="148" w:lineRule="exact"/>
        <w:rPr>
          <w:sz w:val="20"/>
          <w:szCs w:val="20"/>
          <w:color w:val="auto"/>
        </w:rPr>
      </w:pPr>
    </w:p>
    <w:p>
      <w:pPr>
        <w:jc w:val="both"/>
        <w:ind w:firstLine="494"/>
        <w:spacing w:after="0" w:line="230" w:lineRule="auto"/>
        <w:tabs>
          <w:tab w:leader="none" w:pos="98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Sale of Securities</w:t>
      </w:r>
      <w:r>
        <w:rPr>
          <w:rFonts w:ascii="Times New Roman" w:cs="Times New Roman" w:eastAsia="Times New Roman" w:hAnsi="Times New Roman"/>
          <w:sz w:val="16"/>
          <w:szCs w:val="16"/>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15" w:lineRule="exact"/>
        <w:rPr>
          <w:rFonts w:ascii="Times New Roman" w:cs="Times New Roman" w:eastAsia="Times New Roman" w:hAnsi="Times New Roman"/>
          <w:sz w:val="16"/>
          <w:szCs w:val="16"/>
          <w:color w:val="auto"/>
        </w:rPr>
      </w:pPr>
    </w:p>
    <w:p>
      <w:pPr>
        <w:ind w:left="980" w:hanging="486"/>
        <w:spacing w:after="0"/>
        <w:tabs>
          <w:tab w:leader="none" w:pos="9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Mechanics of Issuances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494"/>
        <w:spacing w:after="0"/>
        <w:tabs>
          <w:tab w:leader="none" w:pos="976"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Issuance Notice</w:t>
      </w:r>
      <w:r>
        <w:rPr>
          <w:rFonts w:ascii="Times New Roman" w:cs="Times New Roman" w:eastAsia="Times New Roman" w:hAnsi="Times New Roman"/>
          <w:sz w:val="16"/>
          <w:szCs w:val="16"/>
          <w:color w:val="auto"/>
        </w:rPr>
        <w:t xml:space="preserve">. Upon the terms and subject to the conditions set forth herein, on any Trading Day during the Agency Period on which the conditions set forth in </w:t>
      </w:r>
      <w:r>
        <w:rPr>
          <w:rFonts w:ascii="Times New Roman" w:cs="Times New Roman" w:eastAsia="Times New Roman" w:hAnsi="Times New Roman"/>
          <w:sz w:val="16"/>
          <w:szCs w:val="16"/>
          <w:u w:val="single" w:color="auto"/>
          <w:color w:val="auto"/>
        </w:rPr>
        <w:t>Section 5(a)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5(b)</w:t>
      </w:r>
      <w:r>
        <w:rPr>
          <w:rFonts w:ascii="Times New Roman" w:cs="Times New Roman" w:eastAsia="Times New Roman" w:hAnsi="Times New Roman"/>
          <w:sz w:val="16"/>
          <w:szCs w:val="16"/>
          <w:color w:val="auto"/>
        </w:rPr>
        <w:t xml:space="preserve"> shall have been satisfied, the Company may exercise its right to request an issuance of Shares by delivering to the Agent an Issuance Notice; provided, however,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280"/>
          </w:cols>
          <w:pgMar w:left="300" w:top="1093" w:right="319" w:bottom="1440" w:gutter="0" w:footer="0" w:header="0"/>
        </w:sectPr>
      </w:pPr>
    </w:p>
    <w:bookmarkStart w:id="80" w:name="page81"/>
    <w:bookmarkEnd w:id="80"/>
    <w:p>
      <w:pPr>
        <w:jc w:val="both"/>
        <w:spacing w:after="0" w:line="235" w:lineRule="auto"/>
        <w:rPr>
          <w:sz w:val="20"/>
          <w:szCs w:val="20"/>
          <w:color w:val="auto"/>
        </w:rPr>
      </w:pPr>
      <w:r>
        <w:rPr>
          <w:rFonts w:ascii="Times New Roman" w:cs="Times New Roman" w:eastAsia="Times New Roman" w:hAnsi="Times New Roman"/>
          <w:sz w:val="16"/>
          <w:szCs w:val="16"/>
          <w:color w:val="auto"/>
        </w:rPr>
        <w:t>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16" w:lineRule="exact"/>
        <w:rPr>
          <w:sz w:val="20"/>
          <w:szCs w:val="20"/>
          <w:color w:val="auto"/>
        </w:rPr>
      </w:pPr>
    </w:p>
    <w:p>
      <w:pPr>
        <w:jc w:val="both"/>
        <w:ind w:firstLine="494"/>
        <w:spacing w:after="0" w:line="227" w:lineRule="auto"/>
        <w:tabs>
          <w:tab w:leader="none" w:pos="9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Agent Efforts</w:t>
      </w:r>
      <w:r>
        <w:rPr>
          <w:rFonts w:ascii="Times New Roman" w:cs="Times New Roman" w:eastAsia="Times New Roman" w:hAnsi="Times New Roman"/>
          <w:sz w:val="16"/>
          <w:szCs w:val="16"/>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14" w:lineRule="exact"/>
        <w:rPr>
          <w:rFonts w:ascii="Times New Roman" w:cs="Times New Roman" w:eastAsia="Times New Roman" w:hAnsi="Times New Roman"/>
          <w:sz w:val="16"/>
          <w:szCs w:val="16"/>
          <w:color w:val="auto"/>
        </w:rPr>
      </w:pPr>
    </w:p>
    <w:p>
      <w:pPr>
        <w:jc w:val="both"/>
        <w:ind w:firstLine="494"/>
        <w:spacing w:after="0" w:line="227" w:lineRule="auto"/>
        <w:tabs>
          <w:tab w:leader="none" w:pos="98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Method of Offer and Sale</w:t>
      </w:r>
      <w:r>
        <w:rPr>
          <w:rFonts w:ascii="Times New Roman" w:cs="Times New Roman" w:eastAsia="Times New Roman" w:hAnsi="Times New Roman"/>
          <w:sz w:val="16"/>
          <w:szCs w:val="16"/>
          <w:color w:val="auto"/>
        </w:rPr>
        <w:t>. The Shares may be offered and sold (A) in negotiated transactions with the consent of the Company or (B) by any other method permitted by law deemed to be an “</w:t>
      </w:r>
      <w:r>
        <w:rPr>
          <w:rFonts w:ascii="Times New Roman" w:cs="Times New Roman" w:eastAsia="Times New Roman" w:hAnsi="Times New Roman"/>
          <w:sz w:val="16"/>
          <w:szCs w:val="16"/>
          <w:b w:val="1"/>
          <w:bCs w:val="1"/>
          <w:color w:val="auto"/>
        </w:rPr>
        <w:t>at the market offering</w:t>
      </w:r>
      <w:r>
        <w:rPr>
          <w:rFonts w:ascii="Times New Roman" w:cs="Times New Roman" w:eastAsia="Times New Roman" w:hAnsi="Times New Roman"/>
          <w:sz w:val="16"/>
          <w:szCs w:val="16"/>
          <w:color w:val="auto"/>
        </w:rPr>
        <w:t>” as defined in Rule 415(a)(4) under the Securities Act, including block transactions, sales made directly on the Principal Market or sales made into any other existing trading market of the Ordinary Shares. Nothing in this Agreement shall be deemed to require either party to agree to the method of offer and sale specified in the preceding sentence, and (except as specified in clause (A) above) the method of placement of any Shares by the Agent shall be at the Agent’s discretion.</w:t>
      </w:r>
    </w:p>
    <w:p>
      <w:pPr>
        <w:spacing w:after="0" w:line="114" w:lineRule="exact"/>
        <w:rPr>
          <w:rFonts w:ascii="Times New Roman" w:cs="Times New Roman" w:eastAsia="Times New Roman" w:hAnsi="Times New Roman"/>
          <w:sz w:val="16"/>
          <w:szCs w:val="16"/>
          <w:color w:val="auto"/>
        </w:rPr>
      </w:pPr>
    </w:p>
    <w:p>
      <w:pPr>
        <w:jc w:val="both"/>
        <w:ind w:firstLine="494"/>
        <w:spacing w:after="0" w:line="235" w:lineRule="auto"/>
        <w:tabs>
          <w:tab w:leader="none" w:pos="976"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Confirmation to the Company</w:t>
      </w:r>
      <w:r>
        <w:rPr>
          <w:rFonts w:ascii="Times New Roman" w:cs="Times New Roman" w:eastAsia="Times New Roman" w:hAnsi="Times New Roman"/>
          <w:sz w:val="16"/>
          <w:szCs w:val="16"/>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16" w:lineRule="exact"/>
        <w:rPr>
          <w:rFonts w:ascii="Times New Roman" w:cs="Times New Roman" w:eastAsia="Times New Roman" w:hAnsi="Times New Roman"/>
          <w:sz w:val="16"/>
          <w:szCs w:val="16"/>
          <w:color w:val="auto"/>
        </w:rPr>
      </w:pPr>
    </w:p>
    <w:p>
      <w:pPr>
        <w:jc w:val="both"/>
        <w:ind w:firstLine="494"/>
        <w:spacing w:after="0"/>
        <w:tabs>
          <w:tab w:leader="none" w:pos="981"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Settlement</w:t>
      </w:r>
      <w:r>
        <w:rPr>
          <w:rFonts w:ascii="Times New Roman" w:cs="Times New Roman" w:eastAsia="Times New Roman" w:hAnsi="Times New Roman"/>
          <w:sz w:val="16"/>
          <w:szCs w:val="16"/>
          <w:color w:val="auto"/>
        </w:rPr>
        <w:t xml:space="preserve">. Each issuance of Shares will be settled on the applicable Settlement Date for such issuance of Shares and, subject to the provisions of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Times New Roman" w:cs="Times New Roman" w:eastAsia="Times New Roman" w:hAnsi="Times New Roman"/>
          <w:sz w:val="16"/>
          <w:szCs w:val="16"/>
          <w:b w:val="1"/>
          <w:bCs w:val="1"/>
          <w:color w:val="auto"/>
        </w:rPr>
        <w:t>Time of Sale</w:t>
      </w:r>
      <w:r>
        <w:rPr>
          <w:rFonts w:ascii="Times New Roman" w:cs="Times New Roman" w:eastAsia="Times New Roman" w:hAnsi="Times New Roman"/>
          <w:sz w:val="16"/>
          <w:szCs w:val="16"/>
          <w:color w:val="auto"/>
        </w:rPr>
        <w:t>”).</w:t>
      </w:r>
    </w:p>
    <w:p>
      <w:pPr>
        <w:spacing w:after="0" w:line="209" w:lineRule="exact"/>
        <w:rPr>
          <w:rFonts w:ascii="Times New Roman" w:cs="Times New Roman" w:eastAsia="Times New Roman" w:hAnsi="Times New Roman"/>
          <w:sz w:val="16"/>
          <w:szCs w:val="16"/>
          <w:color w:val="auto"/>
        </w:rPr>
      </w:pPr>
    </w:p>
    <w:p>
      <w:pPr>
        <w:jc w:val="both"/>
        <w:ind w:firstLine="494"/>
        <w:spacing w:after="0" w:line="223" w:lineRule="auto"/>
        <w:tabs>
          <w:tab w:leader="none" w:pos="976"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Suspension or Termination of Sales</w:t>
      </w:r>
      <w:r>
        <w:rPr>
          <w:rFonts w:ascii="Times New Roman" w:cs="Times New Roman" w:eastAsia="Times New Roman" w:hAnsi="Times New Roman"/>
          <w:sz w:val="16"/>
          <w:szCs w:val="16"/>
          <w:color w:val="auto"/>
        </w:rPr>
        <w:t xml:space="preserve">. Consistent with standard market settlement practices, the Company or the Agent may, upon notice to the other party hereto in writing (including by email) or by telephone (confirmed promptly by verifiable email), suspend any sale of Shares, and the period set forth in an Issuance Notice shall immediately terminate; provided, however,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Times New Roman" w:cs="Times New Roman" w:eastAsia="Times New Roman" w:hAnsi="Times New Roman"/>
          <w:sz w:val="16"/>
          <w:szCs w:val="16"/>
          <w:u w:val="single" w:color="auto"/>
          <w:color w:val="auto"/>
        </w:rPr>
        <w:t>Section 3(b)(v)</w:t>
      </w:r>
      <w:r>
        <w:rPr>
          <w:rFonts w:ascii="Times New Roman" w:cs="Times New Roman" w:eastAsia="Times New Roman" w:hAnsi="Times New Roman"/>
          <w:sz w:val="16"/>
          <w:szCs w:val="16"/>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and documented legal fees and expenses), as incurred, arising out of or in connection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280"/>
          </w:cols>
          <w:pgMar w:left="300" w:top="1093" w:right="319" w:bottom="1440" w:gutter="0" w:footer="0" w:header="0"/>
        </w:sectPr>
      </w:pPr>
    </w:p>
    <w:bookmarkStart w:id="81" w:name="page82"/>
    <w:bookmarkEnd w:id="81"/>
    <w:p>
      <w:pPr>
        <w:jc w:val="both"/>
        <w:spacing w:after="0" w:line="230" w:lineRule="auto"/>
        <w:rPr>
          <w:sz w:val="20"/>
          <w:szCs w:val="20"/>
          <w:color w:val="auto"/>
        </w:rPr>
      </w:pPr>
      <w:r>
        <w:rPr>
          <w:rFonts w:ascii="Times New Roman" w:cs="Times New Roman" w:eastAsia="Times New Roman" w:hAnsi="Times New Roman"/>
          <w:sz w:val="16"/>
          <w:szCs w:val="16"/>
          <w:color w:val="auto"/>
        </w:rPr>
        <w:t xml:space="preserve">default by the Company. The parties hereto acknowledge and agree that, in performing its obligations under this Agreement, the Agent may borrow Ordinary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Times New Roman" w:cs="Times New Roman" w:eastAsia="Times New Roman" w:hAnsi="Times New Roman"/>
          <w:sz w:val="16"/>
          <w:szCs w:val="16"/>
          <w:u w:val="single" w:color="auto"/>
          <w:color w:val="auto"/>
        </w:rPr>
        <w:t>Section 3(b)(i)</w:t>
      </w:r>
      <w:r>
        <w:rPr>
          <w:rFonts w:ascii="Times New Roman" w:cs="Times New Roman" w:eastAsia="Times New Roman" w:hAnsi="Times New Roman"/>
          <w:sz w:val="16"/>
          <w:szCs w:val="16"/>
          <w:color w:val="auto"/>
        </w:rPr>
        <w:t>.</w:t>
      </w:r>
    </w:p>
    <w:p>
      <w:pPr>
        <w:spacing w:after="0" w:line="115" w:lineRule="exact"/>
        <w:rPr>
          <w:sz w:val="20"/>
          <w:szCs w:val="20"/>
          <w:color w:val="auto"/>
        </w:rPr>
      </w:pPr>
    </w:p>
    <w:p>
      <w:pPr>
        <w:jc w:val="both"/>
        <w:ind w:firstLine="494"/>
        <w:spacing w:after="0" w:line="235" w:lineRule="auto"/>
        <w:tabs>
          <w:tab w:leader="none" w:pos="9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Guarantee of Placement, Etc</w:t>
      </w:r>
      <w:r>
        <w:rPr>
          <w:rFonts w:ascii="Times New Roman" w:cs="Times New Roman" w:eastAsia="Times New Roman" w:hAnsi="Times New Roman"/>
          <w:sz w:val="16"/>
          <w:szCs w:val="16"/>
          <w:color w:val="auto"/>
        </w:rPr>
        <w:t>.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16" w:lineRule="exact"/>
        <w:rPr>
          <w:rFonts w:ascii="Times New Roman" w:cs="Times New Roman" w:eastAsia="Times New Roman" w:hAnsi="Times New Roman"/>
          <w:sz w:val="16"/>
          <w:szCs w:val="16"/>
          <w:color w:val="auto"/>
        </w:rPr>
      </w:pPr>
    </w:p>
    <w:p>
      <w:pPr>
        <w:jc w:val="both"/>
        <w:ind w:firstLine="494"/>
        <w:spacing w:after="0" w:line="235" w:lineRule="auto"/>
        <w:tabs>
          <w:tab w:leader="none" w:pos="985"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Material Non-Public Information</w:t>
      </w:r>
      <w:r>
        <w:rPr>
          <w:rFonts w:ascii="Times New Roman" w:cs="Times New Roman" w:eastAsia="Times New Roman" w:hAnsi="Times New Roman"/>
          <w:sz w:val="16"/>
          <w:szCs w:val="16"/>
          <w:color w:val="auto"/>
        </w:rPr>
        <w:t>.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16" w:lineRule="exact"/>
        <w:rPr>
          <w:sz w:val="20"/>
          <w:szCs w:val="20"/>
          <w:color w:val="auto"/>
        </w:rPr>
      </w:pPr>
    </w:p>
    <w:p>
      <w:pPr>
        <w:jc w:val="both"/>
        <w:ind w:firstLine="494"/>
        <w:spacing w:after="0" w:line="235" w:lineRule="auto"/>
        <w:tabs>
          <w:tab w:leader="none" w:pos="982"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Fees</w:t>
      </w:r>
      <w:r>
        <w:rPr>
          <w:rFonts w:ascii="Times New Roman" w:cs="Times New Roman" w:eastAsia="Times New Roman" w:hAnsi="Times New Roman"/>
          <w:sz w:val="16"/>
          <w:szCs w:val="16"/>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Times New Roman" w:cs="Times New Roman" w:eastAsia="Times New Roman" w:hAnsi="Times New Roman"/>
          <w:sz w:val="16"/>
          <w:szCs w:val="16"/>
          <w:u w:val="single" w:color="auto"/>
          <w:color w:val="auto"/>
        </w:rPr>
        <w:t>Section 3(b)(vi)</w:t>
      </w:r>
      <w:r>
        <w:rPr>
          <w:rFonts w:ascii="Times New Roman" w:cs="Times New Roman" w:eastAsia="Times New Roman" w:hAnsi="Times New Roman"/>
          <w:sz w:val="16"/>
          <w:szCs w:val="16"/>
          <w:color w:val="auto"/>
        </w:rPr>
        <w:t>) by the Agent deducting the Selling Commission from the applicable Issuance Amount.</w:t>
      </w:r>
    </w:p>
    <w:p>
      <w:pPr>
        <w:spacing w:after="0" w:line="116" w:lineRule="exact"/>
        <w:rPr>
          <w:rFonts w:ascii="Times New Roman" w:cs="Times New Roman" w:eastAsia="Times New Roman" w:hAnsi="Times New Roman"/>
          <w:sz w:val="16"/>
          <w:szCs w:val="16"/>
          <w:color w:val="auto"/>
        </w:rPr>
      </w:pPr>
    </w:p>
    <w:p>
      <w:pPr>
        <w:jc w:val="both"/>
        <w:ind w:firstLine="494"/>
        <w:spacing w:after="0" w:line="230" w:lineRule="auto"/>
        <w:tabs>
          <w:tab w:leader="none" w:pos="981"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reasonable and documented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Times New Roman" w:cs="Times New Roman" w:eastAsia="Times New Roman" w:hAnsi="Times New Roman"/>
          <w:sz w:val="16"/>
          <w:szCs w:val="16"/>
          <w:b w:val="1"/>
          <w:bCs w:val="1"/>
          <w:color w:val="auto"/>
        </w:rPr>
        <w:t>Blue Sky Survey</w:t>
      </w:r>
      <w:r>
        <w:rPr>
          <w:rFonts w:ascii="Times New Roman" w:cs="Times New Roman" w:eastAsia="Times New Roman" w:hAnsi="Times New Roman"/>
          <w:sz w:val="16"/>
          <w:szCs w:val="16"/>
          <w:color w:val="auto"/>
        </w:rPr>
        <w:t>”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(x) the fees and expenses associated with listing the Shares on the Principal Market. The fees and disbursements of Agent’s counsel pursuant to subsections (vi) and (vii) above shall not exceed (A) $100,000 in connection with the execution of this Agreement;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280"/>
          </w:cols>
          <w:pgMar w:left="300" w:top="1093" w:right="319" w:bottom="1440" w:gutter="0" w:footer="0" w:header="0"/>
        </w:sectPr>
      </w:pPr>
    </w:p>
    <w:bookmarkStart w:id="82" w:name="page83"/>
    <w:bookmarkEnd w:id="82"/>
    <w:p>
      <w:pPr>
        <w:jc w:val="both"/>
        <w:spacing w:after="0" w:line="235" w:lineRule="auto"/>
        <w:rPr>
          <w:sz w:val="20"/>
          <w:szCs w:val="20"/>
          <w:color w:val="auto"/>
        </w:rPr>
      </w:pPr>
      <w:r>
        <w:rPr>
          <w:rFonts w:ascii="Times New Roman" w:cs="Times New Roman" w:eastAsia="Times New Roman" w:hAnsi="Times New Roman"/>
          <w:sz w:val="16"/>
          <w:szCs w:val="16"/>
          <w:color w:val="auto"/>
        </w:rPr>
        <w:t xml:space="preserve">$25,000 in connection with each Triggering Event Date (as defined below) involving the filing of a Form 10-K on which the Company is required to provide a certificate pursuant to </w:t>
      </w:r>
      <w:r>
        <w:rPr>
          <w:rFonts w:ascii="Times New Roman" w:cs="Times New Roman" w:eastAsia="Times New Roman" w:hAnsi="Times New Roman"/>
          <w:sz w:val="16"/>
          <w:szCs w:val="16"/>
          <w:u w:val="single" w:color="auto"/>
          <w:color w:val="auto"/>
        </w:rPr>
        <w:t>Section 4(o)</w:t>
      </w:r>
      <w:r>
        <w:rPr>
          <w:rFonts w:ascii="Times New Roman" w:cs="Times New Roman" w:eastAsia="Times New Roman" w:hAnsi="Times New Roman"/>
          <w:sz w:val="16"/>
          <w:szCs w:val="16"/>
          <w:color w:val="auto"/>
        </w:rPr>
        <w:t xml:space="preserve">; and (C) $20,000 in connection with each other Triggering Event Date (as defined below) on which the Company is required to provide a certificate pursuant to </w:t>
      </w:r>
      <w:r>
        <w:rPr>
          <w:rFonts w:ascii="Times New Roman" w:cs="Times New Roman" w:eastAsia="Times New Roman" w:hAnsi="Times New Roman"/>
          <w:sz w:val="16"/>
          <w:szCs w:val="16"/>
          <w:u w:val="single" w:color="auto"/>
          <w:color w:val="auto"/>
        </w:rPr>
        <w:t>Section 4(o).</w:t>
      </w:r>
    </w:p>
    <w:p>
      <w:pPr>
        <w:spacing w:after="0" w:line="112"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6"/>
          <w:szCs w:val="16"/>
          <w:b w:val="1"/>
          <w:bCs w:val="1"/>
          <w:color w:val="auto"/>
        </w:rPr>
        <w:t>Section 4.</w:t>
      </w:r>
      <w:r>
        <w:rPr>
          <w:sz w:val="20"/>
          <w:szCs w:val="20"/>
          <w:color w:val="auto"/>
        </w:rPr>
        <w:tab/>
      </w:r>
      <w:r>
        <w:rPr>
          <w:rFonts w:ascii="Times New Roman" w:cs="Times New Roman" w:eastAsia="Times New Roman" w:hAnsi="Times New Roman"/>
          <w:sz w:val="16"/>
          <w:szCs w:val="16"/>
          <w:b w:val="1"/>
          <w:bCs w:val="1"/>
          <w:color w:val="auto"/>
        </w:rPr>
        <w:t>ADDITIONAL COVENANTS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Company covenants and agrees with the Agent as follows, in addition to any other covenants and agreements made elsewhere in this Agreement:</w:t>
      </w:r>
    </w:p>
    <w:p>
      <w:pPr>
        <w:spacing w:after="0" w:line="155" w:lineRule="exact"/>
        <w:rPr>
          <w:sz w:val="20"/>
          <w:szCs w:val="20"/>
          <w:color w:val="auto"/>
        </w:rPr>
      </w:pPr>
    </w:p>
    <w:p>
      <w:pPr>
        <w:jc w:val="both"/>
        <w:ind w:firstLine="494"/>
        <w:spacing w:after="0" w:line="223" w:lineRule="auto"/>
        <w:tabs>
          <w:tab w:leader="none" w:pos="982"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Act Compliance</w:t>
      </w:r>
      <w:r>
        <w:rPr>
          <w:rFonts w:ascii="Times New Roman" w:cs="Times New Roman" w:eastAsia="Times New Roman" w:hAnsi="Times New Roman"/>
          <w:sz w:val="16"/>
          <w:szCs w:val="16"/>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in the Company’s sole discretion, (B) prepare a prospectus supplement containing, or include in such other filing permitted by the Securities Act or Exchange Act (each an “</w:t>
      </w:r>
      <w:r>
        <w:rPr>
          <w:rFonts w:ascii="Times New Roman" w:cs="Times New Roman" w:eastAsia="Times New Roman" w:hAnsi="Times New Roman"/>
          <w:sz w:val="16"/>
          <w:szCs w:val="16"/>
          <w:b w:val="1"/>
          <w:bCs w:val="1"/>
          <w:color w:val="auto"/>
        </w:rPr>
        <w:t>Interim Prospectus Supplement</w:t>
      </w:r>
      <w:r>
        <w:rPr>
          <w:rFonts w:ascii="Times New Roman" w:cs="Times New Roman" w:eastAsia="Times New Roman" w:hAnsi="Times New Roman"/>
          <w:sz w:val="16"/>
          <w:szCs w:val="16"/>
          <w:color w:val="auto"/>
        </w:rPr>
        <w:t xml:space="preserve">”), such summary information and, at least once a quarter and subject to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file such Interim Prospectus Supplement pursuant to Rule 424(b) under the Securities Act (and within the time periods required by Rule 424(b) and Rule 430B under the Securities Act)).</w:t>
      </w:r>
    </w:p>
    <w:p>
      <w:pPr>
        <w:spacing w:after="0" w:line="116" w:lineRule="exact"/>
        <w:rPr>
          <w:rFonts w:ascii="Times New Roman" w:cs="Times New Roman" w:eastAsia="Times New Roman" w:hAnsi="Times New Roman"/>
          <w:sz w:val="16"/>
          <w:szCs w:val="16"/>
          <w:color w:val="auto"/>
        </w:rPr>
      </w:pPr>
    </w:p>
    <w:p>
      <w:pPr>
        <w:jc w:val="both"/>
        <w:ind w:firstLine="494"/>
        <w:spacing w:after="0" w:line="220" w:lineRule="auto"/>
        <w:tabs>
          <w:tab w:leader="none" w:pos="981"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Securities Act Compliance</w:t>
      </w:r>
      <w:r>
        <w:rPr>
          <w:rFonts w:ascii="Times New Roman" w:cs="Times New Roman" w:eastAsia="Times New Roman" w:hAnsi="Times New Roman"/>
          <w:sz w:val="16"/>
          <w:szCs w:val="16"/>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Ordinary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14" w:lineRule="exact"/>
        <w:rPr>
          <w:rFonts w:ascii="Times New Roman" w:cs="Times New Roman" w:eastAsia="Times New Roman" w:hAnsi="Times New Roman"/>
          <w:sz w:val="16"/>
          <w:szCs w:val="16"/>
          <w:color w:val="auto"/>
        </w:rPr>
      </w:pPr>
    </w:p>
    <w:p>
      <w:pPr>
        <w:jc w:val="both"/>
        <w:ind w:firstLine="494"/>
        <w:spacing w:after="0" w:line="224" w:lineRule="auto"/>
        <w:tabs>
          <w:tab w:leader="none" w:pos="982"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 and Supplements to the Prospectus and Other Securities Act Matters</w:t>
      </w:r>
      <w:r>
        <w:rPr>
          <w:rFonts w:ascii="Times New Roman" w:cs="Times New Roman" w:eastAsia="Times New Roman" w:hAnsi="Times New Roman"/>
          <w:sz w:val="16"/>
          <w:szCs w:val="16"/>
          <w:color w:val="auto"/>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w:t>
      </w:r>
      <w:r>
        <w:rPr>
          <w:rFonts w:ascii="Times New Roman" w:cs="Times New Roman" w:eastAsia="Times New Roman" w:hAnsi="Times New Roman"/>
          <w:sz w:val="16"/>
          <w:szCs w:val="16"/>
          <w:u w:val="single" w:color="auto"/>
          <w:color w:val="auto"/>
        </w:rPr>
        <w:t>Section 4(d)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4(f)</w:t>
      </w:r>
      <w:r>
        <w:rPr>
          <w:rFonts w:ascii="Times New Roman" w:cs="Times New Roman" w:eastAsia="Times New Roman" w:hAnsi="Times New Roman"/>
          <w:sz w:val="16"/>
          <w:szCs w:val="16"/>
          <w:color w:val="auto"/>
        </w:rPr>
        <w:t>) to promptly prepare, file with the Commission and furnish at its own expense to the Agent, amendments or supplements to the Prospectus so that the statements in the Prospectus as so amended or supplemented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280"/>
          </w:cols>
          <w:pgMar w:left="300" w:top="1093" w:right="319" w:bottom="1440" w:gutter="0" w:footer="0" w:header="0"/>
        </w:sectPr>
      </w:pPr>
    </w:p>
    <w:bookmarkStart w:id="83" w:name="page84"/>
    <w:bookmarkEnd w:id="83"/>
    <w:p>
      <w:pPr>
        <w:jc w:val="both"/>
        <w:spacing w:after="0" w:line="227" w:lineRule="auto"/>
        <w:rPr>
          <w:sz w:val="20"/>
          <w:szCs w:val="20"/>
          <w:color w:val="auto"/>
        </w:rPr>
      </w:pPr>
      <w:r>
        <w:rPr>
          <w:rFonts w:ascii="Times New Roman" w:cs="Times New Roman" w:eastAsia="Times New Roman" w:hAnsi="Times New Roman"/>
          <w:sz w:val="16"/>
          <w:szCs w:val="16"/>
          <w:color w:val="auto"/>
        </w:rPr>
        <w:t xml:space="preserve">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w:t>
      </w:r>
      <w:r>
        <w:rPr>
          <w:rFonts w:ascii="Times New Roman" w:cs="Times New Roman" w:eastAsia="Times New Roman" w:hAnsi="Times New Roman"/>
          <w:sz w:val="16"/>
          <w:szCs w:val="16"/>
          <w:u w:val="single" w:color="auto"/>
          <w:color w:val="auto"/>
        </w:rPr>
        <w:t>Section 4(d)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4(f)</w:t>
      </w:r>
      <w:r>
        <w:rPr>
          <w:rFonts w:ascii="Times New Roman" w:cs="Times New Roman" w:eastAsia="Times New Roman" w:hAnsi="Times New Roman"/>
          <w:sz w:val="16"/>
          <w:szCs w:val="16"/>
          <w:color w:val="auto"/>
        </w:rPr>
        <w:t>. Notwithstanding the foregoing, the Company shall not be required to file such amendment or supplement if there is no pending Issuance Notice and the Company believes that it is in its best interest not to file such amendment or supplement.</w:t>
      </w:r>
    </w:p>
    <w:p>
      <w:pPr>
        <w:spacing w:after="0" w:line="115" w:lineRule="exact"/>
        <w:rPr>
          <w:sz w:val="20"/>
          <w:szCs w:val="20"/>
          <w:color w:val="auto"/>
        </w:rPr>
      </w:pPr>
    </w:p>
    <w:p>
      <w:pPr>
        <w:jc w:val="both"/>
        <w:ind w:firstLine="494"/>
        <w:spacing w:after="0" w:line="223" w:lineRule="auto"/>
        <w:tabs>
          <w:tab w:leader="none" w:pos="981"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Agent’s Review of Proposed Amendments and Supplements</w:t>
      </w:r>
      <w:r>
        <w:rPr>
          <w:rFonts w:ascii="Times New Roman" w:cs="Times New Roman" w:eastAsia="Times New Roman" w:hAnsi="Times New Roman"/>
          <w:sz w:val="16"/>
          <w:szCs w:val="16"/>
          <w:color w:val="auto"/>
        </w:rPr>
        <w:t xml:space="preserve">.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and to file with the Commission within the applicable period specified in Rule 424(b) under the Securities Act any prospectus required to be filed pursuant to such Rule;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Company has no obligation to provide the Agent any advance copy of such filing if the filing does not name the Agent and does not relate to the Shares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transactions contemplated by this Agreement.</w:t>
      </w:r>
    </w:p>
    <w:p>
      <w:pPr>
        <w:spacing w:after="0" w:line="116" w:lineRule="exact"/>
        <w:rPr>
          <w:rFonts w:ascii="Times New Roman" w:cs="Times New Roman" w:eastAsia="Times New Roman" w:hAnsi="Times New Roman"/>
          <w:sz w:val="16"/>
          <w:szCs w:val="16"/>
          <w:color w:val="auto"/>
        </w:rPr>
      </w:pPr>
    </w:p>
    <w:p>
      <w:pPr>
        <w:jc w:val="both"/>
        <w:ind w:firstLine="494"/>
        <w:spacing w:after="0" w:line="235" w:lineRule="auto"/>
        <w:tabs>
          <w:tab w:leader="none" w:pos="982"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Use of Free Writing Prospectus</w:t>
      </w:r>
      <w:r>
        <w:rPr>
          <w:rFonts w:ascii="Times New Roman" w:cs="Times New Roman" w:eastAsia="Times New Roman" w:hAnsi="Times New Roman"/>
          <w:sz w:val="16"/>
          <w:szCs w:val="16"/>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 w:cs="Times New Roman" w:eastAsia="Times New Roman" w:hAnsi="Times New Roman"/>
          <w:sz w:val="16"/>
          <w:szCs w:val="16"/>
          <w:b w:val="1"/>
          <w:bCs w:val="1"/>
          <w:color w:val="auto"/>
        </w:rPr>
        <w:t>Free Writing Prospectus</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jc w:val="both"/>
        <w:ind w:firstLine="494"/>
        <w:spacing w:after="0" w:line="218" w:lineRule="auto"/>
        <w:tabs>
          <w:tab w:leader="none" w:pos="985"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Free Writing Prospectuses</w:t>
      </w:r>
      <w:r>
        <w:rPr>
          <w:rFonts w:ascii="Times New Roman" w:cs="Times New Roman" w:eastAsia="Times New Roman" w:hAnsi="Times New Roman"/>
          <w:sz w:val="16"/>
          <w:szCs w:val="16"/>
          <w:color w:val="auto"/>
        </w:rPr>
        <w:t>.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which consent shall not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provided, however,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280"/>
          </w:cols>
          <w:pgMar w:left="300" w:top="1093" w:right="319" w:bottom="1440" w:gutter="0" w:footer="0" w:header="0"/>
        </w:sectPr>
      </w:pPr>
    </w:p>
    <w:bookmarkStart w:id="84" w:name="page85"/>
    <w:bookmarkEnd w:id="84"/>
    <w:p>
      <w:pPr>
        <w:spacing w:after="0" w:line="253" w:lineRule="auto"/>
        <w:rPr>
          <w:sz w:val="20"/>
          <w:szCs w:val="20"/>
          <w:color w:val="auto"/>
        </w:rPr>
      </w:pPr>
      <w:r>
        <w:rPr>
          <w:rFonts w:ascii="Times New Roman" w:cs="Times New Roman" w:eastAsia="Times New Roman" w:hAnsi="Times New Roman"/>
          <w:sz w:val="16"/>
          <w:szCs w:val="16"/>
          <w:color w:val="auto"/>
        </w:rPr>
        <w:t>Company shall not file, use or refer to any such amended or supplemented free writing prospectus without the Agent’s consent, which consent shall not be unreasonably withheld, conditioned or delayed.</w:t>
      </w:r>
    </w:p>
    <w:p>
      <w:pPr>
        <w:spacing w:after="0" w:line="104" w:lineRule="exact"/>
        <w:rPr>
          <w:sz w:val="20"/>
          <w:szCs w:val="20"/>
          <w:color w:val="auto"/>
        </w:rPr>
      </w:pPr>
    </w:p>
    <w:p>
      <w:pPr>
        <w:jc w:val="both"/>
        <w:ind w:firstLine="494"/>
        <w:spacing w:after="0" w:line="235" w:lineRule="auto"/>
        <w:tabs>
          <w:tab w:leader="none" w:pos="981"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Filing of Agent Free Writing Prospectuses</w:t>
      </w:r>
      <w:r>
        <w:rPr>
          <w:rFonts w:ascii="Times New Roman" w:cs="Times New Roman" w:eastAsia="Times New Roman" w:hAnsi="Times New Roman"/>
          <w:sz w:val="16"/>
          <w:szCs w:val="16"/>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16" w:lineRule="exact"/>
        <w:rPr>
          <w:rFonts w:ascii="Times New Roman" w:cs="Times New Roman" w:eastAsia="Times New Roman" w:hAnsi="Times New Roman"/>
          <w:sz w:val="16"/>
          <w:szCs w:val="16"/>
          <w:color w:val="auto"/>
        </w:rPr>
      </w:pPr>
    </w:p>
    <w:p>
      <w:pPr>
        <w:jc w:val="both"/>
        <w:ind w:firstLine="494"/>
        <w:spacing w:after="0" w:line="218" w:lineRule="auto"/>
        <w:tabs>
          <w:tab w:leader="none" w:pos="981"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Copies of Registration Statement and Prospectus</w:t>
      </w:r>
      <w:r>
        <w:rPr>
          <w:rFonts w:ascii="Times New Roman" w:cs="Times New Roman" w:eastAsia="Times New Roman" w:hAnsi="Times New Roman"/>
          <w:sz w:val="16"/>
          <w:szCs w:val="16"/>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19" w:lineRule="exact"/>
        <w:rPr>
          <w:rFonts w:ascii="Times New Roman" w:cs="Times New Roman" w:eastAsia="Times New Roman" w:hAnsi="Times New Roman"/>
          <w:sz w:val="16"/>
          <w:szCs w:val="16"/>
          <w:color w:val="auto"/>
        </w:rPr>
      </w:pPr>
    </w:p>
    <w:p>
      <w:pPr>
        <w:jc w:val="both"/>
        <w:ind w:firstLine="494"/>
        <w:spacing w:after="0" w:line="222" w:lineRule="auto"/>
        <w:tabs>
          <w:tab w:leader="none" w:pos="97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Blue Sky Compliance</w:t>
      </w:r>
      <w:r>
        <w:rPr>
          <w:rFonts w:ascii="Times New Roman" w:cs="Times New Roman" w:eastAsia="Times New Roman" w:hAnsi="Times New Roman"/>
          <w:sz w:val="16"/>
          <w:szCs w:val="16"/>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as may be reasonably designated by the Agent, shall use reasonable efforts to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reasonably practicable.</w:t>
      </w:r>
    </w:p>
    <w:p>
      <w:pPr>
        <w:spacing w:after="0" w:line="115" w:lineRule="exact"/>
        <w:rPr>
          <w:rFonts w:ascii="Times New Roman" w:cs="Times New Roman" w:eastAsia="Times New Roman" w:hAnsi="Times New Roman"/>
          <w:sz w:val="16"/>
          <w:szCs w:val="16"/>
          <w:color w:val="auto"/>
        </w:rPr>
      </w:pPr>
    </w:p>
    <w:p>
      <w:pPr>
        <w:ind w:firstLine="494"/>
        <w:spacing w:after="0" w:line="253" w:lineRule="auto"/>
        <w:tabs>
          <w:tab w:leader="none" w:pos="97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Earnings Statement</w:t>
      </w:r>
      <w:r>
        <w:rPr>
          <w:rFonts w:ascii="Times New Roman" w:cs="Times New Roman" w:eastAsia="Times New Roman" w:hAnsi="Times New Roman"/>
          <w:sz w:val="16"/>
          <w:szCs w:val="16"/>
          <w:color w:val="auto"/>
        </w:rPr>
        <w:t>. As soon as practicable, the Company will make generally available to its security holders and to the Agent an earnings statement (which need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280"/>
          </w:cols>
          <w:pgMar w:left="300" w:top="1093" w:right="319" w:bottom="1440" w:gutter="0" w:footer="0" w:header="0"/>
        </w:sectPr>
      </w:pPr>
    </w:p>
    <w:bookmarkStart w:id="85" w:name="page86"/>
    <w:bookmarkEnd w:id="85"/>
    <w:p>
      <w:pPr>
        <w:jc w:val="both"/>
        <w:spacing w:after="0" w:line="235" w:lineRule="auto"/>
        <w:rPr>
          <w:sz w:val="20"/>
          <w:szCs w:val="20"/>
          <w:color w:val="auto"/>
        </w:rPr>
      </w:pPr>
      <w:r>
        <w:rPr>
          <w:rFonts w:ascii="Times New Roman" w:cs="Times New Roman" w:eastAsia="Times New Roman" w:hAnsi="Times New Roman"/>
          <w:sz w:val="16"/>
          <w:szCs w:val="16"/>
          <w:color w:val="auto"/>
        </w:rPr>
        <w:t>audited) covering a period of at least twelve months beginning with the first fiscal quarter of the Company occurring after the date of this Agreement which shall satisfy the provisions of Section 11(a) of the Securities Act and Rule 158 under the Securities Act, which requirement may be satisfied by publicly filing the required information on EDGAR.</w:t>
      </w:r>
    </w:p>
    <w:p>
      <w:pPr>
        <w:spacing w:after="0" w:line="116" w:lineRule="exact"/>
        <w:rPr>
          <w:sz w:val="20"/>
          <w:szCs w:val="20"/>
          <w:color w:val="auto"/>
        </w:rPr>
      </w:pPr>
    </w:p>
    <w:p>
      <w:pPr>
        <w:ind w:firstLine="494"/>
        <w:spacing w:after="0" w:line="253" w:lineRule="auto"/>
        <w:tabs>
          <w:tab w:leader="none" w:pos="981"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Listing; Reservation of Shares</w:t>
      </w:r>
      <w:r>
        <w:rPr>
          <w:rFonts w:ascii="Times New Roman" w:cs="Times New Roman" w:eastAsia="Times New Roman" w:hAnsi="Times New Roman"/>
          <w:sz w:val="16"/>
          <w:szCs w:val="16"/>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104" w:lineRule="exact"/>
        <w:rPr>
          <w:rFonts w:ascii="Times New Roman" w:cs="Times New Roman" w:eastAsia="Times New Roman" w:hAnsi="Times New Roman"/>
          <w:sz w:val="16"/>
          <w:szCs w:val="16"/>
          <w:color w:val="auto"/>
        </w:rPr>
      </w:pPr>
    </w:p>
    <w:p>
      <w:pPr>
        <w:ind w:left="980" w:hanging="486"/>
        <w:spacing w:after="0"/>
        <w:tabs>
          <w:tab w:leader="none" w:pos="9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Agent</w:t>
      </w:r>
      <w:r>
        <w:rPr>
          <w:rFonts w:ascii="Times New Roman" w:cs="Times New Roman" w:eastAsia="Times New Roman" w:hAnsi="Times New Roman"/>
          <w:sz w:val="16"/>
          <w:szCs w:val="16"/>
          <w:color w:val="auto"/>
        </w:rPr>
        <w:t>. The Company shall engage and maintain, at its expense, a registrar and transfer agent for the Shares.</w:t>
      </w:r>
    </w:p>
    <w:p>
      <w:pPr>
        <w:spacing w:after="0" w:line="144" w:lineRule="exact"/>
        <w:rPr>
          <w:rFonts w:ascii="Times New Roman" w:cs="Times New Roman" w:eastAsia="Times New Roman" w:hAnsi="Times New Roman"/>
          <w:sz w:val="16"/>
          <w:szCs w:val="16"/>
          <w:color w:val="auto"/>
        </w:rPr>
      </w:pPr>
    </w:p>
    <w:p>
      <w:pPr>
        <w:jc w:val="both"/>
        <w:ind w:firstLine="494"/>
        <w:spacing w:after="0" w:line="235" w:lineRule="auto"/>
        <w:tabs>
          <w:tab w:leader="none" w:pos="976"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Due Diligence</w:t>
      </w:r>
      <w:r>
        <w:rPr>
          <w:rFonts w:ascii="Times New Roman" w:cs="Times New Roman" w:eastAsia="Times New Roman" w:hAnsi="Times New Roman"/>
          <w:sz w:val="16"/>
          <w:szCs w:val="16"/>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16" w:lineRule="exact"/>
        <w:rPr>
          <w:rFonts w:ascii="Times New Roman" w:cs="Times New Roman" w:eastAsia="Times New Roman" w:hAnsi="Times New Roman"/>
          <w:sz w:val="16"/>
          <w:szCs w:val="16"/>
          <w:color w:val="auto"/>
        </w:rPr>
      </w:pPr>
    </w:p>
    <w:p>
      <w:pPr>
        <w:jc w:val="both"/>
        <w:ind w:firstLine="494"/>
        <w:spacing w:after="0" w:line="223" w:lineRule="auto"/>
        <w:tabs>
          <w:tab w:leader="none" w:pos="981"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16" w:lineRule="exact"/>
        <w:rPr>
          <w:rFonts w:ascii="Times New Roman" w:cs="Times New Roman" w:eastAsia="Times New Roman" w:hAnsi="Times New Roman"/>
          <w:sz w:val="16"/>
          <w:szCs w:val="16"/>
          <w:color w:val="auto"/>
        </w:rPr>
      </w:pPr>
    </w:p>
    <w:p>
      <w:pPr>
        <w:ind w:firstLine="494"/>
        <w:spacing w:after="0" w:line="253" w:lineRule="auto"/>
        <w:tabs>
          <w:tab w:leader="none" w:pos="981"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Deliverables at Triggering Event Dates; Certificates</w:t>
      </w:r>
      <w:r>
        <w:rPr>
          <w:rFonts w:ascii="Times New Roman" w:cs="Times New Roman" w:eastAsia="Times New Roman" w:hAnsi="Times New Roman"/>
          <w:sz w:val="16"/>
          <w:szCs w:val="16"/>
          <w:color w:val="auto"/>
        </w:rPr>
        <w:t>. The Company agrees that on or prior to the date of the first Issuance Notice and, during the term of this Agreement after the date of the first Issuance Notice, upon:</w:t>
      </w:r>
    </w:p>
    <w:p>
      <w:pPr>
        <w:spacing w:after="0" w:line="104" w:lineRule="exact"/>
        <w:rPr>
          <w:sz w:val="20"/>
          <w:szCs w:val="20"/>
          <w:color w:val="auto"/>
        </w:rPr>
      </w:pPr>
    </w:p>
    <w:p>
      <w:pPr>
        <w:jc w:val="both"/>
        <w:ind w:firstLine="494"/>
        <w:spacing w:after="0" w:line="235" w:lineRule="auto"/>
        <w:tabs>
          <w:tab w:leader="none" w:pos="977"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filing of the Prospectus or the amendment or supplement of any Registration Statement or Prospectus (other than a prospectus supplement relating solely to an offering of securities other than the Shares or a prospectus filed pursuant to </w:t>
      </w:r>
      <w:r>
        <w:rPr>
          <w:rFonts w:ascii="Times New Roman" w:cs="Times New Roman" w:eastAsia="Times New Roman" w:hAnsi="Times New Roman"/>
          <w:sz w:val="16"/>
          <w:szCs w:val="16"/>
          <w:u w:val="single" w:color="auto"/>
          <w:color w:val="auto"/>
        </w:rPr>
        <w:t>Section 4(a)(ii)(B)</w:t>
      </w:r>
      <w:r>
        <w:rPr>
          <w:rFonts w:ascii="Times New Roman" w:cs="Times New Roman" w:eastAsia="Times New Roman" w:hAnsi="Times New Roman"/>
          <w:sz w:val="16"/>
          <w:szCs w:val="16"/>
          <w:color w:val="auto"/>
        </w:rPr>
        <w:t>), by means of a post-effective amendment, sticker or supplement, but not by means of incorporation of documents by reference into the Registration Statement or Prospectus;</w:t>
      </w:r>
    </w:p>
    <w:p>
      <w:pPr>
        <w:spacing w:after="0" w:line="116" w:lineRule="exact"/>
        <w:rPr>
          <w:rFonts w:ascii="Times New Roman" w:cs="Times New Roman" w:eastAsia="Times New Roman" w:hAnsi="Times New Roman"/>
          <w:sz w:val="16"/>
          <w:szCs w:val="16"/>
          <w:color w:val="auto"/>
        </w:rPr>
      </w:pPr>
    </w:p>
    <w:p>
      <w:pPr>
        <w:jc w:val="both"/>
        <w:ind w:firstLine="494"/>
        <w:spacing w:after="0" w:line="235" w:lineRule="auto"/>
        <w:tabs>
          <w:tab w:leader="none" w:pos="978"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16" w:lineRule="exact"/>
        <w:rPr>
          <w:rFonts w:ascii="Times New Roman" w:cs="Times New Roman" w:eastAsia="Times New Roman" w:hAnsi="Times New Roman"/>
          <w:sz w:val="16"/>
          <w:szCs w:val="16"/>
          <w:color w:val="auto"/>
        </w:rPr>
      </w:pPr>
    </w:p>
    <w:p>
      <w:pPr>
        <w:jc w:val="both"/>
        <w:ind w:firstLine="494"/>
        <w:spacing w:after="0" w:line="230" w:lineRule="auto"/>
        <w:tabs>
          <w:tab w:leader="none" w:pos="978"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 (any such event, a “</w:t>
      </w:r>
      <w:r>
        <w:rPr>
          <w:rFonts w:ascii="Times New Roman" w:cs="Times New Roman" w:eastAsia="Times New Roman" w:hAnsi="Times New Roman"/>
          <w:sz w:val="16"/>
          <w:szCs w:val="16"/>
          <w:b w:val="1"/>
          <w:bCs w:val="1"/>
          <w:color w:val="auto"/>
        </w:rPr>
        <w:t>Triggering Event Date</w:t>
      </w:r>
      <w:r>
        <w:rPr>
          <w:rFonts w:ascii="Times New Roman" w:cs="Times New Roman" w:eastAsia="Times New Roman" w:hAnsi="Times New Roman"/>
          <w:sz w:val="16"/>
          <w:szCs w:val="16"/>
          <w:color w:val="auto"/>
        </w:rPr>
        <w:t>”), the Company shall furnish the Agent (but in the case of clause (C) above only if the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1280"/>
          </w:cols>
          <w:pgMar w:left="300" w:top="1093" w:right="319" w:bottom="1440" w:gutter="0" w:footer="0" w:header="0"/>
        </w:sectPr>
      </w:pPr>
    </w:p>
    <w:bookmarkStart w:id="86" w:name="page87"/>
    <w:bookmarkEnd w:id="86"/>
    <w:p>
      <w:pPr>
        <w:jc w:val="both"/>
        <w:spacing w:after="0" w:line="220" w:lineRule="auto"/>
        <w:rPr>
          <w:sz w:val="20"/>
          <w:szCs w:val="20"/>
          <w:color w:val="auto"/>
        </w:rPr>
      </w:pPr>
      <w:r>
        <w:rPr>
          <w:rFonts w:ascii="Times New Roman" w:cs="Times New Roman" w:eastAsia="Times New Roman" w:hAnsi="Times New Roman"/>
          <w:sz w:val="16"/>
          <w:szCs w:val="16"/>
          <w:color w:val="auto"/>
        </w:rPr>
        <w:t xml:space="preserve">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Times New Roman" w:cs="Times New Roman" w:eastAsia="Times New Roman" w:hAnsi="Times New Roman"/>
          <w:sz w:val="16"/>
          <w:szCs w:val="16"/>
          <w:u w:val="single" w:color="auto"/>
          <w:color w:val="auto"/>
        </w:rPr>
        <w:t>Section 5(a)(iii)</w:t>
      </w:r>
      <w:r>
        <w:rPr>
          <w:rFonts w:ascii="Times New Roman" w:cs="Times New Roman" w:eastAsia="Times New Roman" w:hAnsi="Times New Roman"/>
          <w:sz w:val="16"/>
          <w:szCs w:val="16"/>
          <w:color w:val="auto"/>
        </w:rPr>
        <w:t xml:space="preserve"> hereof, and (C) containing any other certification that the Agent shall reasonably request. The requirement to provide a certificate under this </w:t>
      </w:r>
      <w:r>
        <w:rPr>
          <w:rFonts w:ascii="Times New Roman" w:cs="Times New Roman" w:eastAsia="Times New Roman" w:hAnsi="Times New Roman"/>
          <w:sz w:val="16"/>
          <w:szCs w:val="16"/>
          <w:u w:val="single" w:color="auto"/>
          <w:color w:val="auto"/>
        </w:rPr>
        <w:t>Section 4(o)</w:t>
      </w:r>
      <w:r>
        <w:rPr>
          <w:rFonts w:ascii="Times New Roman" w:cs="Times New Roman" w:eastAsia="Times New Roman" w:hAnsi="Times New Roman"/>
          <w:sz w:val="16"/>
          <w:szCs w:val="16"/>
          <w:color w:val="auto"/>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w:t>
      </w:r>
      <w:r>
        <w:rPr>
          <w:rFonts w:ascii="Times New Roman" w:cs="Times New Roman" w:eastAsia="Times New Roman" w:hAnsi="Times New Roman"/>
          <w:sz w:val="16"/>
          <w:szCs w:val="16"/>
          <w:u w:val="single" w:color="auto"/>
          <w:color w:val="auto"/>
        </w:rPr>
        <w:t>Section 4(o)</w:t>
      </w:r>
      <w:r>
        <w:rPr>
          <w:rFonts w:ascii="Times New Roman" w:cs="Times New Roman" w:eastAsia="Times New Roman" w:hAnsi="Times New Roman"/>
          <w:sz w:val="16"/>
          <w:szCs w:val="16"/>
          <w:color w:val="auto"/>
        </w:rPr>
        <w:t xml:space="preserve">, then before the Company delivers the instructions for the sale of Shares or the Agent sells any Shares pursuant to such instructions, the Company shall provide the Agent with a certificate in conformity with this </w:t>
      </w:r>
      <w:r>
        <w:rPr>
          <w:rFonts w:ascii="Times New Roman" w:cs="Times New Roman" w:eastAsia="Times New Roman" w:hAnsi="Times New Roman"/>
          <w:sz w:val="16"/>
          <w:szCs w:val="16"/>
          <w:u w:val="single" w:color="auto"/>
          <w:color w:val="auto"/>
        </w:rPr>
        <w:t>Section 4(o)</w:t>
      </w:r>
      <w:r>
        <w:rPr>
          <w:rFonts w:ascii="Times New Roman" w:cs="Times New Roman" w:eastAsia="Times New Roman" w:hAnsi="Times New Roman"/>
          <w:sz w:val="16"/>
          <w:szCs w:val="16"/>
          <w:color w:val="auto"/>
        </w:rPr>
        <w:t xml:space="preserve"> dated as of the date that the instructions for the sale of Shares are issued.</w:t>
      </w:r>
    </w:p>
    <w:p>
      <w:pPr>
        <w:spacing w:after="0" w:line="114" w:lineRule="exact"/>
        <w:rPr>
          <w:sz w:val="20"/>
          <w:szCs w:val="20"/>
          <w:color w:val="auto"/>
        </w:rPr>
      </w:pPr>
    </w:p>
    <w:p>
      <w:pPr>
        <w:jc w:val="both"/>
        <w:ind w:firstLine="494"/>
        <w:spacing w:after="0" w:line="221" w:lineRule="auto"/>
        <w:tabs>
          <w:tab w:leader="none" w:pos="981"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Legal Opinions</w:t>
      </w:r>
      <w:r>
        <w:rPr>
          <w:rFonts w:ascii="Times New Roman" w:cs="Times New Roman" w:eastAsia="Times New Roman" w:hAnsi="Times New Roman"/>
          <w:sz w:val="16"/>
          <w:szCs w:val="16"/>
          <w:color w:val="auto"/>
        </w:rPr>
        <w:t xml:space="preserve">. On or prior to the date of the first Issuance Notice and on or prior to each Triggering Event Date with respect to which the Company is obligated to deliver a certificate pursuant to </w:t>
      </w:r>
      <w:r>
        <w:rPr>
          <w:rFonts w:ascii="Times New Roman" w:cs="Times New Roman" w:eastAsia="Times New Roman" w:hAnsi="Times New Roman"/>
          <w:sz w:val="16"/>
          <w:szCs w:val="16"/>
          <w:u w:val="single" w:color="auto"/>
          <w:color w:val="auto"/>
        </w:rPr>
        <w:t>Section 4(o)</w:t>
      </w:r>
      <w:r>
        <w:rPr>
          <w:rFonts w:ascii="Times New Roman" w:cs="Times New Roman" w:eastAsia="Times New Roman" w:hAnsi="Times New Roman"/>
          <w:sz w:val="16"/>
          <w:szCs w:val="16"/>
          <w:color w:val="auto"/>
        </w:rPr>
        <w:t xml:space="preserve"> for which no waiver is applicable and excluding the date of this Agreement, the Company shall cause to be delivered (i) a negative assurance letter and the written legal opinion of Latham &amp; Watkins LLP, counsel to the Company, (ii) the written legal opinion of Wolf, Greenfield</w:t>
      </w:r>
    </w:p>
    <w:p>
      <w:pPr>
        <w:spacing w:after="0" w:line="2" w:lineRule="exact"/>
        <w:rPr>
          <w:rFonts w:ascii="Times New Roman" w:cs="Times New Roman" w:eastAsia="Times New Roman" w:hAnsi="Times New Roman"/>
          <w:sz w:val="16"/>
          <w:szCs w:val="16"/>
          <w:color w:val="auto"/>
        </w:rPr>
      </w:pPr>
    </w:p>
    <w:p>
      <w:pPr>
        <w:jc w:val="both"/>
        <w:ind w:firstLine="2"/>
        <w:spacing w:after="0" w:line="221" w:lineRule="auto"/>
        <w:tabs>
          <w:tab w:leader="none" w:pos="178"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Sacks, P.C., intellectual property counsel to the Company and (iii) the written legal opinion of Walkers (Cayman) LLP, Cayman Islands counsel to the Company, each dated the date of delivery, in form and substance reasonably satisfactory to the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14" w:lineRule="exact"/>
        <w:rPr>
          <w:rFonts w:ascii="Times New Roman" w:cs="Times New Roman" w:eastAsia="Times New Roman" w:hAnsi="Times New Roman"/>
          <w:sz w:val="16"/>
          <w:szCs w:val="16"/>
          <w:color w:val="auto"/>
        </w:rPr>
      </w:pPr>
    </w:p>
    <w:p>
      <w:pPr>
        <w:jc w:val="both"/>
        <w:ind w:firstLine="494"/>
        <w:spacing w:after="0" w:line="221" w:lineRule="auto"/>
        <w:tabs>
          <w:tab w:leader="none" w:pos="981"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Comfort Letter</w:t>
      </w:r>
      <w:r>
        <w:rPr>
          <w:rFonts w:ascii="Times New Roman" w:cs="Times New Roman" w:eastAsia="Times New Roman" w:hAnsi="Times New Roman"/>
          <w:sz w:val="16"/>
          <w:szCs w:val="16"/>
          <w:color w:val="auto"/>
        </w:rPr>
        <w:t xml:space="preserve">. On or prior to the date of the first Issuance Notice and on or prior to each Triggering Event Date with respect to which the Company is obligated to deliver a certificate pursuant to </w:t>
      </w:r>
      <w:r>
        <w:rPr>
          <w:rFonts w:ascii="Times New Roman" w:cs="Times New Roman" w:eastAsia="Times New Roman" w:hAnsi="Times New Roman"/>
          <w:sz w:val="16"/>
          <w:szCs w:val="16"/>
          <w:u w:val="single" w:color="auto"/>
          <w:color w:val="auto"/>
        </w:rPr>
        <w:t>Section 4(o)</w:t>
      </w:r>
      <w:r>
        <w:rPr>
          <w:rFonts w:ascii="Times New Roman" w:cs="Times New Roman" w:eastAsia="Times New Roman" w:hAnsi="Times New Roman"/>
          <w:sz w:val="16"/>
          <w:szCs w:val="16"/>
          <w:color w:val="auto"/>
        </w:rPr>
        <w:t xml:space="preserve"> for which no waiver is applicable and excluding the date of this Agreement, the Company shall cause PricewaterhouseCoopers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on the date of occurrence of any material transaction or event requiring the filing of a current report on Form 8-K containing material amended financial information of the Company, including the restatement of the Company’s financial statements. The Company shall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280"/>
          </w:cols>
          <w:pgMar w:left="300" w:top="1093"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color w:val="auto"/>
        </w:rPr>
        <w:t>to furnish no more than one comfort letter hereunder per each filing of an annual report on Form 10-K or a quarterly report on Form 10-Q.</w:t>
      </w:r>
    </w:p>
    <w:p>
      <w:pPr>
        <w:spacing w:after="0" w:line="144" w:lineRule="exact"/>
        <w:rPr>
          <w:sz w:val="20"/>
          <w:szCs w:val="20"/>
          <w:color w:val="auto"/>
        </w:rPr>
      </w:pPr>
    </w:p>
    <w:p>
      <w:pPr>
        <w:jc w:val="both"/>
        <w:ind w:firstLine="494"/>
        <w:spacing w:after="0" w:line="223" w:lineRule="auto"/>
        <w:tabs>
          <w:tab w:leader="none" w:pos="985"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Secretary’s Certificate</w:t>
      </w:r>
      <w:r>
        <w:rPr>
          <w:rFonts w:ascii="Times New Roman" w:cs="Times New Roman" w:eastAsia="Times New Roman" w:hAnsi="Times New Roman"/>
          <w:sz w:val="16"/>
          <w:szCs w:val="16"/>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16" w:lineRule="exact"/>
        <w:rPr>
          <w:rFonts w:ascii="Times New Roman" w:cs="Times New Roman" w:eastAsia="Times New Roman" w:hAnsi="Times New Roman"/>
          <w:sz w:val="16"/>
          <w:szCs w:val="16"/>
          <w:color w:val="auto"/>
        </w:rPr>
      </w:pPr>
    </w:p>
    <w:p>
      <w:pPr>
        <w:ind w:firstLine="494"/>
        <w:spacing w:after="0" w:line="253" w:lineRule="auto"/>
        <w:tabs>
          <w:tab w:leader="none" w:pos="984"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Agent’s Own Account; Clients’ Account</w:t>
      </w:r>
      <w:r>
        <w:rPr>
          <w:rFonts w:ascii="Times New Roman" w:cs="Times New Roman" w:eastAsia="Times New Roman" w:hAnsi="Times New Roman"/>
          <w:sz w:val="16"/>
          <w:szCs w:val="16"/>
          <w:color w:val="auto"/>
        </w:rPr>
        <w:t>. The Company consents to the Agent trading, in compliance with applicable law, in the Ordinary Shares for the Agent’s own account and for the account of its clients at the same time as sales of the Shares occur pursuant to this Agreement.</w:t>
      </w:r>
    </w:p>
    <w:p>
      <w:pPr>
        <w:spacing w:after="0" w:line="104" w:lineRule="exact"/>
        <w:rPr>
          <w:rFonts w:ascii="Times New Roman" w:cs="Times New Roman" w:eastAsia="Times New Roman" w:hAnsi="Times New Roman"/>
          <w:sz w:val="16"/>
          <w:szCs w:val="16"/>
          <w:color w:val="auto"/>
        </w:rPr>
      </w:pPr>
    </w:p>
    <w:p>
      <w:pPr>
        <w:ind w:firstLine="494"/>
        <w:spacing w:after="0" w:line="253" w:lineRule="auto"/>
        <w:tabs>
          <w:tab w:leader="none" w:pos="976"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Investment Limitation</w:t>
      </w:r>
      <w:r>
        <w:rPr>
          <w:rFonts w:ascii="Times New Roman" w:cs="Times New Roman" w:eastAsia="Times New Roman" w:hAnsi="Times New Roman"/>
          <w:sz w:val="16"/>
          <w:szCs w:val="16"/>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04" w:lineRule="exact"/>
        <w:rPr>
          <w:rFonts w:ascii="Times New Roman" w:cs="Times New Roman" w:eastAsia="Times New Roman" w:hAnsi="Times New Roman"/>
          <w:sz w:val="16"/>
          <w:szCs w:val="16"/>
          <w:color w:val="auto"/>
        </w:rPr>
      </w:pPr>
    </w:p>
    <w:p>
      <w:pPr>
        <w:jc w:val="both"/>
        <w:ind w:firstLine="494"/>
        <w:spacing w:after="0" w:line="223" w:lineRule="auto"/>
        <w:tabs>
          <w:tab w:leader="none" w:pos="981"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Market Activities</w:t>
      </w:r>
      <w:r>
        <w:rPr>
          <w:rFonts w:ascii="Times New Roman" w:cs="Times New Roman" w:eastAsia="Times New Roman" w:hAnsi="Times New Roman"/>
          <w:sz w:val="16"/>
          <w:szCs w:val="16"/>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Times New Roman" w:cs="Times New Roman" w:eastAsia="Times New Roman" w:hAnsi="Times New Roman"/>
          <w:sz w:val="16"/>
          <w:szCs w:val="16"/>
          <w:b w:val="1"/>
          <w:bCs w:val="1"/>
          <w:color w:val="auto"/>
        </w:rPr>
        <w:t>Rule 102</w:t>
      </w:r>
      <w:r>
        <w:rPr>
          <w:rFonts w:ascii="Times New Roman" w:cs="Times New Roman" w:eastAsia="Times New Roman" w:hAnsi="Times New Roman"/>
          <w:sz w:val="16"/>
          <w:szCs w:val="16"/>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16" w:lineRule="exact"/>
        <w:rPr>
          <w:rFonts w:ascii="Times New Roman" w:cs="Times New Roman" w:eastAsia="Times New Roman" w:hAnsi="Times New Roman"/>
          <w:sz w:val="16"/>
          <w:szCs w:val="16"/>
          <w:color w:val="auto"/>
        </w:rPr>
      </w:pPr>
    </w:p>
    <w:p>
      <w:pPr>
        <w:jc w:val="both"/>
        <w:ind w:firstLine="494"/>
        <w:spacing w:after="0" w:line="221" w:lineRule="auto"/>
        <w:tabs>
          <w:tab w:leader="none" w:pos="981"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of Other Sale</w:t>
      </w:r>
      <w:r>
        <w:rPr>
          <w:rFonts w:ascii="Times New Roman" w:cs="Times New Roman" w:eastAsia="Times New Roman" w:hAnsi="Times New Roman"/>
          <w:sz w:val="16"/>
          <w:szCs w:val="16"/>
          <w:color w:val="auto"/>
        </w:rPr>
        <w:t>. Without the written consent of the Agent, the Company will not, directly or indirectly, offer to sell, sell, contract to sell, grant any option to sell or otherwise dispose of any Ordinary Shares or securities convertible into or exchangeable for Ordinary Shares (other than Shares hereunder), warrants or any rights to purchase or acquire Ordinary Shares, or effect a reverse stock split, recapitalization, share consolidation, reclassification or similar transaction affecting the outstanding Ordinary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Ordinary Shares (other than the Shares offered pursuant to this Agreement) or securities convertible into or exchangeable for Ordinary Shares, warrants or any rights to purchase or acquire, Ordinary Shares prior to the termination of this Agreement; provided, however, that such restrictions will not be required in connection with the Company’s (i) issuance or sale of Ordinary Shares, options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1280"/>
          </w:cols>
          <w:pgMar w:left="300" w:top="1093" w:right="319" w:bottom="1440" w:gutter="0" w:footer="0" w:header="0"/>
        </w:sectPr>
      </w:pPr>
    </w:p>
    <w:bookmarkStart w:id="88" w:name="page89"/>
    <w:bookmarkEnd w:id="88"/>
    <w:p>
      <w:pPr>
        <w:jc w:val="both"/>
        <w:spacing w:after="0" w:line="220" w:lineRule="auto"/>
        <w:rPr>
          <w:sz w:val="20"/>
          <w:szCs w:val="20"/>
          <w:color w:val="auto"/>
        </w:rPr>
      </w:pPr>
      <w:r>
        <w:rPr>
          <w:rFonts w:ascii="Times New Roman" w:cs="Times New Roman" w:eastAsia="Times New Roman" w:hAnsi="Times New Roman"/>
          <w:sz w:val="16"/>
          <w:szCs w:val="16"/>
          <w:color w:val="auto"/>
        </w:rPr>
        <w:t>Ordinary Shares or Ordinary Shares issuable upon the exercise of options or other equity awards pursuant to any employee or director share option, incentive or benefit plan, share purchase or ownership plan, long-term incentive plan, dividend reinvestment plan, inducement award under the Principal Market rules or other compensation plan of the Company or its subsidiaries, as in effect on the date of the applicable Issuance Notice is delivered, (ii) issuance or sale of Ordinary Shares issuable upon exchange, conversion or redemption of securities, including conversion of preferred stock, or the exercise or vesting of warrants, options or other equity awards outstanding at the date of this Agreement, (iii) issuance or sale of Ordinary Shares or securities convertible into or exchangeable for Ordinary Shares as consideration for mergers, acquisitions or other business combinations, joint ventures, collaborations, licensing arrangements, strategic alliances, or manufacturing, distribution, marketing, supply, sponsored research, technology transfer or development, or third-party service arrangements occurring after the date of this Agreement which are not used solely for capital raising purposes; provided, however, that the aggregate number of Ordinary Shares issued, or issuable pursuant to the conversion or exchange of securities convertible into or exchangeable for Ordinary Shares, under this subsection (iii) does not exceed 5% of the aggregate number of Ordinary Shares outstanding immediately prior to giving effect to such issuance or sale, and (iv) modification of any outstanding options, warrants or any rights to purchase or acquire Ordinary Shares.</w:t>
      </w:r>
    </w:p>
    <w:p>
      <w:pPr>
        <w:spacing w:after="0" w:line="115"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6"/>
          <w:szCs w:val="16"/>
          <w:b w:val="1"/>
          <w:bCs w:val="1"/>
          <w:color w:val="auto"/>
        </w:rPr>
        <w:t>Section 5.</w:t>
      </w:r>
      <w:r>
        <w:rPr>
          <w:sz w:val="20"/>
          <w:szCs w:val="20"/>
          <w:color w:val="auto"/>
        </w:rPr>
        <w:tab/>
      </w:r>
      <w:r>
        <w:rPr>
          <w:rFonts w:ascii="Times New Roman" w:cs="Times New Roman" w:eastAsia="Times New Roman" w:hAnsi="Times New Roman"/>
          <w:sz w:val="16"/>
          <w:szCs w:val="16"/>
          <w:b w:val="1"/>
          <w:bCs w:val="1"/>
          <w:color w:val="auto"/>
        </w:rPr>
        <w:t>CONDITIONS TO DELIVERY OF ISSUANCE NOTICES AND TO SETTLEMENT</w:t>
      </w:r>
    </w:p>
    <w:p>
      <w:pPr>
        <w:spacing w:after="0" w:line="148" w:lineRule="exact"/>
        <w:rPr>
          <w:sz w:val="20"/>
          <w:szCs w:val="20"/>
          <w:color w:val="auto"/>
        </w:rPr>
      </w:pPr>
    </w:p>
    <w:p>
      <w:pPr>
        <w:jc w:val="both"/>
        <w:ind w:firstLine="494"/>
        <w:spacing w:after="0" w:line="230" w:lineRule="auto"/>
        <w:tabs>
          <w:tab w:leader="none" w:pos="982"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Conditions </w:t>
      </w:r>
      <w:r>
        <w:rPr>
          <w:rFonts w:ascii="Times New Roman" w:cs="Times New Roman" w:eastAsia="Times New Roman" w:hAnsi="Times New Roman"/>
          <w:sz w:val="16"/>
          <w:szCs w:val="16"/>
          <w:u w:val="single" w:color="auto"/>
          <w:color w:val="auto"/>
        </w:rPr>
        <w:t>Precedent to the Right of the Company to Deliver an Issuance Notice and the Obligation of the Agent to Sell Shares</w:t>
      </w:r>
      <w:r>
        <w:rPr>
          <w:rFonts w:ascii="Times New Roman" w:cs="Times New Roman" w:eastAsia="Times New Roman" w:hAnsi="Times New Roman"/>
          <w:sz w:val="16"/>
          <w:szCs w:val="16"/>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115" w:lineRule="exact"/>
        <w:rPr>
          <w:sz w:val="20"/>
          <w:szCs w:val="20"/>
          <w:color w:val="auto"/>
        </w:rPr>
      </w:pPr>
    </w:p>
    <w:p>
      <w:pPr>
        <w:jc w:val="both"/>
        <w:ind w:firstLine="494"/>
        <w:spacing w:after="0" w:line="230" w:lineRule="auto"/>
        <w:tabs>
          <w:tab w:leader="none" w:pos="976"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Accuracy of the Company’s Representations and Warranties; Performance by the Company</w:t>
      </w:r>
      <w:r>
        <w:rPr>
          <w:rFonts w:ascii="Times New Roman" w:cs="Times New Roman" w:eastAsia="Times New Roman" w:hAnsi="Times New Roman"/>
          <w:sz w:val="16"/>
          <w:szCs w:val="16"/>
          <w:color w:val="auto"/>
        </w:rPr>
        <w:t xml:space="preserve">. The Company shall have delivered the certificate required to be delivered pursuant to </w:t>
      </w:r>
      <w:r>
        <w:rPr>
          <w:rFonts w:ascii="Times New Roman" w:cs="Times New Roman" w:eastAsia="Times New Roman" w:hAnsi="Times New Roman"/>
          <w:sz w:val="16"/>
          <w:szCs w:val="16"/>
          <w:u w:val="single" w:color="auto"/>
          <w:color w:val="auto"/>
        </w:rPr>
        <w:t>Section 4(o)</w:t>
      </w:r>
      <w:r>
        <w:rPr>
          <w:rFonts w:ascii="Times New Roman" w:cs="Times New Roman" w:eastAsia="Times New Roman" w:hAnsi="Times New Roman"/>
          <w:sz w:val="16"/>
          <w:szCs w:val="16"/>
          <w:color w:val="auto"/>
        </w:rPr>
        <w:t xml:space="preserve"> on or before the date on which delivery of such certificate is required pursuant to </w:t>
      </w:r>
      <w:r>
        <w:rPr>
          <w:rFonts w:ascii="Times New Roman" w:cs="Times New Roman" w:eastAsia="Times New Roman" w:hAnsi="Times New Roman"/>
          <w:sz w:val="16"/>
          <w:szCs w:val="16"/>
          <w:u w:val="single" w:color="auto"/>
          <w:color w:val="auto"/>
        </w:rPr>
        <w:t>Section 4(o)</w:t>
      </w:r>
      <w:r>
        <w:rPr>
          <w:rFonts w:ascii="Times New Roman" w:cs="Times New Roman" w:eastAsia="Times New Roman" w:hAnsi="Times New Roman"/>
          <w:sz w:val="16"/>
          <w:szCs w:val="16"/>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 w:cs="Times New Roman" w:eastAsia="Times New Roman" w:hAnsi="Times New Roman"/>
          <w:sz w:val="16"/>
          <w:szCs w:val="16"/>
          <w:u w:val="single" w:color="auto"/>
          <w:color w:val="auto"/>
        </w:rPr>
        <w:t>Section 4(p)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4(q)</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4(r)</w:t>
      </w:r>
      <w:r>
        <w:rPr>
          <w:rFonts w:ascii="Times New Roman" w:cs="Times New Roman" w:eastAsia="Times New Roman" w:hAnsi="Times New Roman"/>
          <w:sz w:val="16"/>
          <w:szCs w:val="16"/>
          <w:color w:val="auto"/>
        </w:rPr>
        <w:t>.</w:t>
      </w:r>
    </w:p>
    <w:p>
      <w:pPr>
        <w:spacing w:after="0" w:line="115" w:lineRule="exact"/>
        <w:rPr>
          <w:rFonts w:ascii="Times New Roman" w:cs="Times New Roman" w:eastAsia="Times New Roman" w:hAnsi="Times New Roman"/>
          <w:sz w:val="16"/>
          <w:szCs w:val="16"/>
          <w:color w:val="auto"/>
        </w:rPr>
      </w:pPr>
    </w:p>
    <w:p>
      <w:pPr>
        <w:jc w:val="both"/>
        <w:ind w:firstLine="494"/>
        <w:spacing w:after="0" w:line="230" w:lineRule="auto"/>
        <w:tabs>
          <w:tab w:leader="none" w:pos="9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Injunction</w:t>
      </w:r>
      <w:r>
        <w:rPr>
          <w:rFonts w:ascii="Times New Roman" w:cs="Times New Roman" w:eastAsia="Times New Roman" w:hAnsi="Times New Roman"/>
          <w:sz w:val="16"/>
          <w:szCs w:val="16"/>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15" w:lineRule="exact"/>
        <w:rPr>
          <w:rFonts w:ascii="Times New Roman" w:cs="Times New Roman" w:eastAsia="Times New Roman" w:hAnsi="Times New Roman"/>
          <w:sz w:val="16"/>
          <w:szCs w:val="16"/>
          <w:color w:val="auto"/>
        </w:rPr>
      </w:pPr>
    </w:p>
    <w:p>
      <w:pPr>
        <w:jc w:val="both"/>
        <w:ind w:firstLine="494"/>
        <w:spacing w:after="0" w:line="230" w:lineRule="auto"/>
        <w:tabs>
          <w:tab w:leader="none" w:pos="985"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Material Adverse Changes</w:t>
      </w:r>
      <w:r>
        <w:rPr>
          <w:rFonts w:ascii="Times New Roman" w:cs="Times New Roman" w:eastAsia="Times New Roman" w:hAnsi="Times New Roman"/>
          <w:sz w:val="16"/>
          <w:szCs w:val="16"/>
          <w:color w:val="auto"/>
        </w:rPr>
        <w:t>.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1280"/>
          </w:cols>
          <w:pgMar w:left="300" w:top="1093" w:right="319" w:bottom="1440" w:gutter="0" w:footer="0" w:header="0"/>
        </w:sectPr>
      </w:pPr>
    </w:p>
    <w:bookmarkStart w:id="89" w:name="page90"/>
    <w:bookmarkEnd w:id="89"/>
    <w:p>
      <w:pPr>
        <w:jc w:val="both"/>
        <w:ind w:firstLine="494"/>
        <w:spacing w:after="0" w:line="220" w:lineRule="auto"/>
        <w:tabs>
          <w:tab w:leader="none" w:pos="976"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Suspension of Trading in or Delisting of</w:t>
      </w:r>
      <w:r>
        <w:rPr>
          <w:rFonts w:ascii="Times New Roman" w:cs="Times New Roman" w:eastAsia="Times New Roman" w:hAnsi="Times New Roman"/>
          <w:sz w:val="16"/>
          <w:szCs w:val="16"/>
          <w:color w:val="auto"/>
        </w:rPr>
        <w:t xml:space="preserve"> Ordinary </w:t>
      </w:r>
      <w:r>
        <w:rPr>
          <w:rFonts w:ascii="Times New Roman" w:cs="Times New Roman" w:eastAsia="Times New Roman" w:hAnsi="Times New Roman"/>
          <w:sz w:val="16"/>
          <w:szCs w:val="16"/>
          <w:u w:val="single" w:color="auto"/>
          <w:color w:val="auto"/>
        </w:rPr>
        <w:t>Shares; Other Events</w:t>
      </w:r>
      <w:r>
        <w:rPr>
          <w:rFonts w:ascii="Times New Roman" w:cs="Times New Roman" w:eastAsia="Times New Roman" w:hAnsi="Times New Roman"/>
          <w:sz w:val="16"/>
          <w:szCs w:val="16"/>
          <w:color w:val="auto"/>
        </w:rPr>
        <w:t>. The trading of the Ordinary Shares (including without limitation the Shares) shall not have been suspended by the Commission, the Principal Market or FINRA and the Ordinary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the Principal Market shall have been suspended or limited, or minimum or maximum prices shall have been generally established on any of such stock exchanges by the Commission or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19" w:lineRule="exact"/>
        <w:rPr>
          <w:sz w:val="20"/>
          <w:szCs w:val="20"/>
          <w:color w:val="auto"/>
        </w:rPr>
      </w:pPr>
    </w:p>
    <w:p>
      <w:pPr>
        <w:jc w:val="both"/>
        <w:ind w:firstLine="494"/>
        <w:spacing w:after="0"/>
        <w:tabs>
          <w:tab w:leader="none" w:pos="981"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Documents Required to be Delivered on each Issuance Notice Date</w:t>
      </w:r>
      <w:r>
        <w:rPr>
          <w:rFonts w:ascii="Times New Roman" w:cs="Times New Roman" w:eastAsia="Times New Roman" w:hAnsi="Times New Roman"/>
          <w:sz w:val="16"/>
          <w:szCs w:val="16"/>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248" w:lineRule="exact"/>
        <w:rPr>
          <w:rFonts w:ascii="Times New Roman" w:cs="Times New Roman" w:eastAsia="Times New Roman" w:hAnsi="Times New Roman"/>
          <w:sz w:val="16"/>
          <w:szCs w:val="16"/>
          <w:color w:val="auto"/>
        </w:rPr>
      </w:pPr>
    </w:p>
    <w:p>
      <w:pPr>
        <w:jc w:val="both"/>
        <w:ind w:firstLine="494"/>
        <w:spacing w:after="0" w:line="235" w:lineRule="auto"/>
        <w:tabs>
          <w:tab w:leader="none" w:pos="98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Misstatement or Material Omission</w:t>
      </w:r>
      <w:r>
        <w:rPr>
          <w:rFonts w:ascii="Times New Roman" w:cs="Times New Roman" w:eastAsia="Times New Roman" w:hAnsi="Times New Roman"/>
          <w:sz w:val="16"/>
          <w:szCs w:val="16"/>
          <w:color w:val="auto"/>
        </w:rPr>
        <w:t>.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16" w:lineRule="exact"/>
        <w:rPr>
          <w:rFonts w:ascii="Times New Roman" w:cs="Times New Roman" w:eastAsia="Times New Roman" w:hAnsi="Times New Roman"/>
          <w:sz w:val="16"/>
          <w:szCs w:val="16"/>
          <w:color w:val="auto"/>
        </w:rPr>
      </w:pPr>
    </w:p>
    <w:p>
      <w:pPr>
        <w:jc w:val="both"/>
        <w:ind w:firstLine="494"/>
        <w:spacing w:after="0" w:line="235" w:lineRule="auto"/>
        <w:tabs>
          <w:tab w:leader="none" w:pos="981"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Agent Counsel Legal Opinion</w:t>
      </w:r>
      <w:r>
        <w:rPr>
          <w:rFonts w:ascii="Times New Roman" w:cs="Times New Roman" w:eastAsia="Times New Roman" w:hAnsi="Times New Roman"/>
          <w:sz w:val="16"/>
          <w:szCs w:val="16"/>
          <w:color w:val="auto"/>
        </w:rPr>
        <w:t xml:space="preserve">. Agent shall have received from Cooley LLP, counsel for Agent, such opinion or opinions, on or before the date on which the delivery of the Company counsel legal opinion is required pursuant to </w:t>
      </w:r>
      <w:r>
        <w:rPr>
          <w:rFonts w:ascii="Times New Roman" w:cs="Times New Roman" w:eastAsia="Times New Roman" w:hAnsi="Times New Roman"/>
          <w:sz w:val="16"/>
          <w:szCs w:val="16"/>
          <w:u w:val="single" w:color="auto"/>
          <w:color w:val="auto"/>
        </w:rPr>
        <w:t>Section 4(p)</w:t>
      </w:r>
      <w:r>
        <w:rPr>
          <w:rFonts w:ascii="Times New Roman" w:cs="Times New Roman" w:eastAsia="Times New Roman" w:hAnsi="Times New Roman"/>
          <w:sz w:val="16"/>
          <w:szCs w:val="16"/>
          <w:color w:val="auto"/>
        </w:rPr>
        <w:t>, with respect to such matters as Agent may reasonably require, and the Company shall have furnished to such counsel such documents as they request for enabling them to pass upon such matters.</w:t>
      </w:r>
    </w:p>
    <w:p>
      <w:pPr>
        <w:spacing w:after="0" w:line="112"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6"/>
          <w:szCs w:val="16"/>
          <w:b w:val="1"/>
          <w:bCs w:val="1"/>
          <w:color w:val="auto"/>
        </w:rPr>
        <w:t>Section 6.</w:t>
      </w:r>
      <w:r>
        <w:rPr>
          <w:sz w:val="20"/>
          <w:szCs w:val="20"/>
          <w:color w:val="auto"/>
        </w:rPr>
        <w:tab/>
      </w:r>
      <w:r>
        <w:rPr>
          <w:rFonts w:ascii="Times New Roman" w:cs="Times New Roman" w:eastAsia="Times New Roman" w:hAnsi="Times New Roman"/>
          <w:sz w:val="16"/>
          <w:szCs w:val="16"/>
          <w:b w:val="1"/>
          <w:bCs w:val="1"/>
          <w:color w:val="auto"/>
        </w:rPr>
        <w:t>INDEMNIFICATION AND CONTRIBUTION</w:t>
      </w:r>
    </w:p>
    <w:p>
      <w:pPr>
        <w:spacing w:after="0" w:line="148" w:lineRule="exact"/>
        <w:rPr>
          <w:sz w:val="20"/>
          <w:szCs w:val="20"/>
          <w:color w:val="auto"/>
        </w:rPr>
      </w:pPr>
    </w:p>
    <w:p>
      <w:pPr>
        <w:jc w:val="both"/>
        <w:ind w:firstLine="494"/>
        <w:spacing w:after="0"/>
        <w:tabs>
          <w:tab w:leader="none" w:pos="982"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of the Agent</w:t>
      </w:r>
      <w:r>
        <w:rPr>
          <w:rFonts w:ascii="Times New Roman" w:cs="Times New Roman" w:eastAsia="Times New Roman" w:hAnsi="Times New Roman"/>
          <w:sz w:val="16"/>
          <w:szCs w:val="16"/>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1280"/>
          </w:cols>
          <w:pgMar w:left="300" w:top="1093"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color w:val="auto"/>
        </w:rPr>
        <w:t>Securities Act, or the omission or alleged omission therefrom of a material fact required to be stated therein or necessary to make the statements therein not misleading; or</w:t>
      </w:r>
    </w:p>
    <w:p>
      <w:pPr>
        <w:jc w:val="both"/>
        <w:ind w:firstLine="2"/>
        <w:spacing w:after="0" w:line="217" w:lineRule="auto"/>
        <w:tabs>
          <w:tab w:leader="none" w:pos="258"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expenses (including the reasonable and documented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described in subsection (b) below. The indemnity agreement set forth in this </w:t>
      </w:r>
      <w:r>
        <w:rPr>
          <w:rFonts w:ascii="Times New Roman" w:cs="Times New Roman" w:eastAsia="Times New Roman" w:hAnsi="Times New Roman"/>
          <w:sz w:val="16"/>
          <w:szCs w:val="16"/>
          <w:u w:val="single" w:color="auto"/>
          <w:color w:val="auto"/>
        </w:rPr>
        <w:t>Section 6(a)</w:t>
      </w:r>
      <w:r>
        <w:rPr>
          <w:rFonts w:ascii="Times New Roman" w:cs="Times New Roman" w:eastAsia="Times New Roman" w:hAnsi="Times New Roman"/>
          <w:sz w:val="16"/>
          <w:szCs w:val="16"/>
          <w:color w:val="auto"/>
        </w:rPr>
        <w:t xml:space="preserve"> shall be in addition to any liabilities that the Company may otherwise have.</w:t>
      </w:r>
    </w:p>
    <w:p>
      <w:pPr>
        <w:spacing w:after="0" w:line="121" w:lineRule="exact"/>
        <w:rPr>
          <w:rFonts w:ascii="Times New Roman" w:cs="Times New Roman" w:eastAsia="Times New Roman" w:hAnsi="Times New Roman"/>
          <w:sz w:val="16"/>
          <w:szCs w:val="16"/>
          <w:color w:val="auto"/>
        </w:rPr>
      </w:pPr>
    </w:p>
    <w:p>
      <w:pPr>
        <w:jc w:val="both"/>
        <w:ind w:firstLine="494"/>
        <w:spacing w:after="0" w:line="217" w:lineRule="auto"/>
        <w:tabs>
          <w:tab w:leader="none" w:pos="981"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of the Company, its Directors and Officers</w:t>
      </w:r>
      <w:r>
        <w:rPr>
          <w:rFonts w:ascii="Times New Roman" w:cs="Times New Roman" w:eastAsia="Times New Roman" w:hAnsi="Times New Roman"/>
          <w:sz w:val="16"/>
          <w:szCs w:val="16"/>
          <w:color w:val="auto"/>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w:t>
      </w:r>
    </w:p>
    <w:p>
      <w:pPr>
        <w:spacing w:after="0" w:line="2" w:lineRule="exact"/>
        <w:rPr>
          <w:rFonts w:ascii="Times New Roman" w:cs="Times New Roman" w:eastAsia="Times New Roman" w:hAnsi="Times New Roman"/>
          <w:sz w:val="16"/>
          <w:szCs w:val="16"/>
          <w:color w:val="auto"/>
        </w:rPr>
      </w:pPr>
    </w:p>
    <w:p>
      <w:pPr>
        <w:jc w:val="both"/>
        <w:ind w:firstLine="2"/>
        <w:spacing w:after="0" w:line="214" w:lineRule="auto"/>
        <w:tabs>
          <w:tab w:leader="none" w:pos="258"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w:t>
      </w:r>
    </w:p>
    <w:p>
      <w:pPr>
        <w:jc w:val="both"/>
        <w:ind w:firstLine="2"/>
        <w:spacing w:after="0" w:line="219" w:lineRule="auto"/>
        <w:tabs>
          <w:tab w:leader="none" w:pos="249"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expenses (including the reasonable and documented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Times New Roman" w:cs="Times New Roman" w:eastAsia="Times New Roman" w:hAnsi="Times New Roman"/>
          <w:sz w:val="16"/>
          <w:szCs w:val="16"/>
          <w:u w:val="single" w:color="auto"/>
          <w:color w:val="auto"/>
        </w:rPr>
        <w:t>Section 6(b)</w:t>
      </w:r>
      <w:r>
        <w:rPr>
          <w:rFonts w:ascii="Times New Roman" w:cs="Times New Roman" w:eastAsia="Times New Roman" w:hAnsi="Times New Roman"/>
          <w:sz w:val="16"/>
          <w:szCs w:val="16"/>
          <w:color w:val="auto"/>
        </w:rPr>
        <w:t xml:space="preserve"> shall be in addition to any liabilities that the Agent or the Company may otherwise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1280"/>
          </w:cols>
          <w:pgMar w:left="300" w:top="1091" w:right="319" w:bottom="1440" w:gutter="0" w:footer="0" w:header="0"/>
        </w:sectPr>
      </w:pPr>
    </w:p>
    <w:bookmarkStart w:id="91" w:name="page92"/>
    <w:bookmarkEnd w:id="91"/>
    <w:p>
      <w:pPr>
        <w:jc w:val="both"/>
        <w:ind w:firstLine="494"/>
        <w:spacing w:after="0" w:line="228" w:lineRule="auto"/>
        <w:tabs>
          <w:tab w:leader="none" w:pos="982"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Notifications and Other Indemnification Procedures</w:t>
      </w:r>
      <w:r>
        <w:rPr>
          <w:rFonts w:ascii="Times New Roman" w:cs="Times New Roman" w:eastAsia="Times New Roman" w:hAnsi="Times New Roman"/>
          <w:sz w:val="16"/>
          <w:szCs w:val="16"/>
          <w:color w:val="auto"/>
        </w:rPr>
        <w:t xml:space="preserve">. Promptly after receipt by an indemnified party under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of notice of the commencement of any action, such indemnified party will, if a claim in respect thereof is to be made against an indemnifying party under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Times New Roman" w:cs="Times New Roman" w:eastAsia="Times New Roman" w:hAnsi="Times New Roman"/>
          <w:sz w:val="16"/>
          <w:szCs w:val="16"/>
          <w:u w:val="single" w:color="auto"/>
          <w:color w:val="auto"/>
        </w:rPr>
        <w:t>Section 6(a)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6(b)</w:t>
      </w:r>
      <w:r>
        <w:rPr>
          <w:rFonts w:ascii="Times New Roman" w:cs="Times New Roman" w:eastAsia="Times New Roman" w:hAnsi="Times New Roman"/>
          <w:sz w:val="16"/>
          <w:szCs w:val="16"/>
          <w:color w:val="auto"/>
        </w:rPr>
        <w:t xml:space="preserve"> above), (ii) 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15" w:lineRule="exact"/>
        <w:rPr>
          <w:rFonts w:ascii="Times New Roman" w:cs="Times New Roman" w:eastAsia="Times New Roman" w:hAnsi="Times New Roman"/>
          <w:sz w:val="16"/>
          <w:szCs w:val="16"/>
          <w:color w:val="auto"/>
        </w:rPr>
      </w:pPr>
    </w:p>
    <w:p>
      <w:pPr>
        <w:jc w:val="both"/>
        <w:ind w:firstLine="494"/>
        <w:spacing w:after="0" w:line="221" w:lineRule="auto"/>
        <w:tabs>
          <w:tab w:leader="none" w:pos="981"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Settlements</w:t>
      </w:r>
      <w:r>
        <w:rPr>
          <w:rFonts w:ascii="Times New Roman" w:cs="Times New Roman" w:eastAsia="Times New Roman" w:hAnsi="Times New Roman"/>
          <w:sz w:val="16"/>
          <w:szCs w:val="16"/>
          <w:color w:val="auto"/>
        </w:rPr>
        <w:t xml:space="preserve">. The indemnifying party under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Times New Roman" w:cs="Times New Roman" w:eastAsia="Times New Roman" w:hAnsi="Times New Roman"/>
          <w:sz w:val="16"/>
          <w:szCs w:val="16"/>
          <w:u w:val="single" w:color="auto"/>
          <w:color w:val="auto"/>
        </w:rPr>
        <w:t>Section 6(c)</w:t>
      </w:r>
      <w:r>
        <w:rPr>
          <w:rFonts w:ascii="Times New Roman" w:cs="Times New Roman" w:eastAsia="Times New Roman" w:hAnsi="Times New Roman"/>
          <w:sz w:val="16"/>
          <w:szCs w:val="16"/>
          <w:color w:val="auto"/>
        </w:rPr>
        <w:t xml:space="preserve">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1280"/>
          </w:cols>
          <w:pgMar w:left="300" w:top="1093"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color w:val="auto"/>
        </w:rPr>
        <w:t>indemnified party from all liability on claims that are the subject matter of such action, suit or proceeding.</w:t>
      </w:r>
    </w:p>
    <w:p>
      <w:pPr>
        <w:spacing w:after="0" w:line="144" w:lineRule="exact"/>
        <w:rPr>
          <w:sz w:val="20"/>
          <w:szCs w:val="20"/>
          <w:color w:val="auto"/>
        </w:rPr>
      </w:pPr>
    </w:p>
    <w:p>
      <w:pPr>
        <w:jc w:val="both"/>
        <w:ind w:firstLine="494"/>
        <w:spacing w:after="0" w:line="237" w:lineRule="auto"/>
        <w:tabs>
          <w:tab w:leader="none" w:pos="98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Contribution</w:t>
      </w:r>
      <w:r>
        <w:rPr>
          <w:rFonts w:ascii="Times New Roman" w:cs="Times New Roman" w:eastAsia="Times New Roman" w:hAnsi="Times New Roman"/>
          <w:sz w:val="16"/>
          <w:szCs w:val="16"/>
          <w:color w:val="auto"/>
        </w:rPr>
        <w:t xml:space="preserve">. If the indemnification provided for in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38" w:lineRule="exact"/>
        <w:rPr>
          <w:sz w:val="20"/>
          <w:szCs w:val="20"/>
          <w:color w:val="auto"/>
        </w:rPr>
      </w:pPr>
    </w:p>
    <w:p>
      <w:pPr>
        <w:jc w:val="both"/>
        <w:ind w:firstLine="492"/>
        <w:spacing w:after="0" w:line="267" w:lineRule="auto"/>
        <w:rPr>
          <w:sz w:val="20"/>
          <w:szCs w:val="20"/>
          <w:color w:val="auto"/>
        </w:rPr>
      </w:pPr>
      <w:r>
        <w:rPr>
          <w:rFonts w:ascii="Times New Roman" w:cs="Times New Roman" w:eastAsia="Times New Roman" w:hAnsi="Times New Roman"/>
          <w:sz w:val="16"/>
          <w:szCs w:val="16"/>
          <w:color w:val="auto"/>
        </w:rPr>
        <w:t xml:space="preserve">The amount paid or payable by a party as a result of the losses, claims, damages, liabilities and expenses referred to above shall be deemed to include, subject to the limitations set forth in </w:t>
      </w:r>
      <w:r>
        <w:rPr>
          <w:rFonts w:ascii="Times New Roman" w:cs="Times New Roman" w:eastAsia="Times New Roman" w:hAnsi="Times New Roman"/>
          <w:sz w:val="16"/>
          <w:szCs w:val="16"/>
          <w:u w:val="single" w:color="auto"/>
          <w:color w:val="auto"/>
        </w:rPr>
        <w:t>Section 6(c)</w:t>
      </w:r>
      <w:r>
        <w:rPr>
          <w:rFonts w:ascii="Times New Roman" w:cs="Times New Roman" w:eastAsia="Times New Roman" w:hAnsi="Times New Roman"/>
          <w:sz w:val="16"/>
          <w:szCs w:val="16"/>
          <w:color w:val="auto"/>
        </w:rPr>
        <w:t xml:space="preserve">, any reasonable and documented legal or other fees or expenses reasonably incurred by such party in connection with investigating or defending any action or claim. The provisions set forth in </w:t>
      </w:r>
      <w:r>
        <w:rPr>
          <w:rFonts w:ascii="Times New Roman" w:cs="Times New Roman" w:eastAsia="Times New Roman" w:hAnsi="Times New Roman"/>
          <w:sz w:val="16"/>
          <w:szCs w:val="16"/>
          <w:u w:val="single" w:color="auto"/>
          <w:color w:val="auto"/>
        </w:rPr>
        <w:t>Section 6(c)</w:t>
      </w:r>
      <w:r>
        <w:rPr>
          <w:rFonts w:ascii="Times New Roman" w:cs="Times New Roman" w:eastAsia="Times New Roman" w:hAnsi="Times New Roman"/>
          <w:sz w:val="16"/>
          <w:szCs w:val="16"/>
          <w:color w:val="auto"/>
        </w:rPr>
        <w:t xml:space="preserve"> with respect to notice of commencement of any action shall apply if a claim for contribution is to be made under this </w:t>
      </w:r>
      <w:r>
        <w:rPr>
          <w:rFonts w:ascii="Times New Roman" w:cs="Times New Roman" w:eastAsia="Times New Roman" w:hAnsi="Times New Roman"/>
          <w:sz w:val="16"/>
          <w:szCs w:val="16"/>
          <w:u w:val="single" w:color="auto"/>
          <w:color w:val="auto"/>
        </w:rPr>
        <w:t>Section 6(e)</w:t>
      </w:r>
      <w:r>
        <w:rPr>
          <w:rFonts w:ascii="Times New Roman" w:cs="Times New Roman" w:eastAsia="Times New Roman" w:hAnsi="Times New Roman"/>
          <w:sz w:val="16"/>
          <w:szCs w:val="16"/>
          <w:color w:val="auto"/>
        </w:rPr>
        <w:t xml:space="preserve">; provided, however, that no additional notice shall be required with respect to any action for which notice has been given under </w:t>
      </w:r>
      <w:r>
        <w:rPr>
          <w:rFonts w:ascii="Times New Roman" w:cs="Times New Roman" w:eastAsia="Times New Roman" w:hAnsi="Times New Roman"/>
          <w:sz w:val="16"/>
          <w:szCs w:val="16"/>
          <w:u w:val="single" w:color="auto"/>
          <w:color w:val="auto"/>
        </w:rPr>
        <w:t>Section 6(c)</w:t>
      </w:r>
      <w:r>
        <w:rPr>
          <w:rFonts w:ascii="Times New Roman" w:cs="Times New Roman" w:eastAsia="Times New Roman" w:hAnsi="Times New Roman"/>
          <w:sz w:val="16"/>
          <w:szCs w:val="16"/>
          <w:color w:val="auto"/>
        </w:rPr>
        <w:t xml:space="preserve"> for purposes of indemnification.</w:t>
      </w:r>
    </w:p>
    <w:p>
      <w:pPr>
        <w:spacing w:after="0" w:line="125" w:lineRule="exact"/>
        <w:rPr>
          <w:sz w:val="20"/>
          <w:szCs w:val="20"/>
          <w:color w:val="auto"/>
        </w:rPr>
      </w:pPr>
    </w:p>
    <w:p>
      <w:pPr>
        <w:jc w:val="both"/>
        <w:ind w:firstLine="492"/>
        <w:spacing w:after="0" w:line="293" w:lineRule="auto"/>
        <w:rPr>
          <w:sz w:val="20"/>
          <w:szCs w:val="20"/>
          <w:color w:val="auto"/>
        </w:rPr>
      </w:pPr>
      <w:r>
        <w:rPr>
          <w:rFonts w:ascii="Times New Roman" w:cs="Times New Roman" w:eastAsia="Times New Roman" w:hAnsi="Times New Roman"/>
          <w:sz w:val="16"/>
          <w:szCs w:val="16"/>
          <w:color w:val="auto"/>
        </w:rPr>
        <w:t xml:space="preserve">The Company and the Agent agree that it would not be just and equitable if contribution pursuant to this </w:t>
      </w:r>
      <w:r>
        <w:rPr>
          <w:rFonts w:ascii="Times New Roman" w:cs="Times New Roman" w:eastAsia="Times New Roman" w:hAnsi="Times New Roman"/>
          <w:sz w:val="16"/>
          <w:szCs w:val="16"/>
          <w:u w:val="single" w:color="auto"/>
          <w:color w:val="auto"/>
        </w:rPr>
        <w:t>Section 6(e)</w:t>
      </w:r>
      <w:r>
        <w:rPr>
          <w:rFonts w:ascii="Times New Roman" w:cs="Times New Roman" w:eastAsia="Times New Roman" w:hAnsi="Times New Roman"/>
          <w:sz w:val="16"/>
          <w:szCs w:val="16"/>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6"/>
          <w:szCs w:val="16"/>
          <w:u w:val="single" w:color="auto"/>
          <w:color w:val="auto"/>
        </w:rPr>
        <w:t>Section 6(e)</w:t>
      </w:r>
      <w:r>
        <w:rPr>
          <w:rFonts w:ascii="Times New Roman" w:cs="Times New Roman" w:eastAsia="Times New Roman" w:hAnsi="Times New Roman"/>
          <w:sz w:val="16"/>
          <w:szCs w:val="16"/>
          <w:color w:val="auto"/>
        </w:rPr>
        <w:t>.</w:t>
      </w:r>
    </w:p>
    <w:p>
      <w:pPr>
        <w:spacing w:after="0" w:line="105" w:lineRule="exact"/>
        <w:rPr>
          <w:sz w:val="20"/>
          <w:szCs w:val="20"/>
          <w:color w:val="auto"/>
        </w:rPr>
      </w:pPr>
    </w:p>
    <w:p>
      <w:pPr>
        <w:jc w:val="both"/>
        <w:ind w:firstLine="492"/>
        <w:spacing w:after="0" w:line="265" w:lineRule="auto"/>
        <w:rPr>
          <w:sz w:val="20"/>
          <w:szCs w:val="20"/>
          <w:color w:val="auto"/>
        </w:rPr>
      </w:pPr>
      <w:r>
        <w:rPr>
          <w:rFonts w:ascii="Times New Roman" w:cs="Times New Roman" w:eastAsia="Times New Roman" w:hAnsi="Times New Roman"/>
          <w:sz w:val="16"/>
          <w:szCs w:val="16"/>
          <w:color w:val="auto"/>
        </w:rPr>
        <w:t xml:space="preserve">Notwithstanding the provisions of this </w:t>
      </w:r>
      <w:r>
        <w:rPr>
          <w:rFonts w:ascii="Times New Roman" w:cs="Times New Roman" w:eastAsia="Times New Roman" w:hAnsi="Times New Roman"/>
          <w:sz w:val="16"/>
          <w:szCs w:val="16"/>
          <w:u w:val="single" w:color="auto"/>
          <w:color w:val="auto"/>
        </w:rPr>
        <w:t>Section 6(e)</w:t>
      </w:r>
      <w:r>
        <w:rPr>
          <w:rFonts w:ascii="Times New Roman" w:cs="Times New Roman" w:eastAsia="Times New Roman" w:hAnsi="Times New Roman"/>
          <w:sz w:val="16"/>
          <w:szCs w:val="16"/>
          <w:color w:val="auto"/>
        </w:rPr>
        <w:t xml:space="preserve">, the Agent shall not be required to contribute any amount in excess of the Selling Commission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 w:cs="Times New Roman" w:eastAsia="Times New Roman" w:hAnsi="Times New Roman"/>
          <w:sz w:val="16"/>
          <w:szCs w:val="16"/>
          <w:u w:val="single" w:color="auto"/>
          <w:color w:val="auto"/>
        </w:rPr>
        <w:t>Section 6(e)</w:t>
      </w:r>
      <w:r>
        <w:rPr>
          <w:rFonts w:ascii="Times New Roman" w:cs="Times New Roman" w:eastAsia="Times New Roman" w:hAnsi="Times New Roman"/>
          <w:sz w:val="16"/>
          <w:szCs w:val="16"/>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1280"/>
          </w:cols>
          <w:pgMar w:left="300" w:top="1093"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color w:val="auto"/>
        </w:rPr>
        <w:t>meaning of the Securities Act and the Exchange Act shall have the same rights to contribution as the Company.</w:t>
      </w:r>
    </w:p>
    <w:p>
      <w:pPr>
        <w:spacing w:after="0" w:line="151"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6"/>
          <w:szCs w:val="16"/>
          <w:b w:val="1"/>
          <w:bCs w:val="1"/>
          <w:color w:val="auto"/>
        </w:rPr>
        <w:t>Section 7.</w:t>
      </w:r>
      <w:r>
        <w:rPr>
          <w:sz w:val="20"/>
          <w:szCs w:val="20"/>
          <w:color w:val="auto"/>
        </w:rPr>
        <w:tab/>
      </w:r>
      <w:r>
        <w:rPr>
          <w:rFonts w:ascii="Times New Roman" w:cs="Times New Roman" w:eastAsia="Times New Roman" w:hAnsi="Times New Roman"/>
          <w:sz w:val="16"/>
          <w:szCs w:val="16"/>
          <w:b w:val="1"/>
          <w:bCs w:val="1"/>
          <w:color w:val="auto"/>
        </w:rPr>
        <w:t>TERMINATION &amp; SURVIVAL</w:t>
      </w:r>
    </w:p>
    <w:p>
      <w:pPr>
        <w:spacing w:after="0" w:line="148" w:lineRule="exact"/>
        <w:rPr>
          <w:sz w:val="20"/>
          <w:szCs w:val="20"/>
          <w:color w:val="auto"/>
        </w:rPr>
      </w:pPr>
    </w:p>
    <w:p>
      <w:pPr>
        <w:ind w:firstLine="494"/>
        <w:spacing w:after="0" w:line="253" w:lineRule="auto"/>
        <w:tabs>
          <w:tab w:leader="none" w:pos="982"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xml:space="preserve">. Subject to the provisions of this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the term of this Agreement shall continue from the date of this Agreement until the end of the Agency Period, unless earlier terminated by the parties to this Agreement pursuant to this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w:t>
      </w:r>
    </w:p>
    <w:p>
      <w:pPr>
        <w:spacing w:after="0" w:line="104" w:lineRule="exact"/>
        <w:rPr>
          <w:rFonts w:ascii="Times New Roman" w:cs="Times New Roman" w:eastAsia="Times New Roman" w:hAnsi="Times New Roman"/>
          <w:sz w:val="16"/>
          <w:szCs w:val="16"/>
          <w:color w:val="auto"/>
        </w:rPr>
      </w:pPr>
    </w:p>
    <w:p>
      <w:pPr>
        <w:ind w:left="980" w:hanging="486"/>
        <w:spacing w:after="0"/>
        <w:tabs>
          <w:tab w:leader="none" w:pos="9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Survival Following Termination</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494"/>
        <w:spacing w:after="0"/>
        <w:tabs>
          <w:tab w:leader="none" w:pos="976"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Times New Roman" w:cs="Times New Roman" w:eastAsia="Times New Roman" w:hAnsi="Times New Roman"/>
          <w:sz w:val="16"/>
          <w:szCs w:val="16"/>
          <w:u w:val="single" w:color="auto"/>
          <w:color w:val="auto"/>
        </w:rPr>
        <w:t>Section 3(b)(v)</w:t>
      </w:r>
      <w:r>
        <w:rPr>
          <w:rFonts w:ascii="Times New Roman" w:cs="Times New Roman" w:eastAsia="Times New Roman" w:hAnsi="Times New Roman"/>
          <w:sz w:val="16"/>
          <w:szCs w:val="16"/>
          <w:color w:val="auto"/>
        </w:rPr>
        <w:t xml:space="preserve"> with respect to such Shares and (B)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248" w:lineRule="exact"/>
        <w:rPr>
          <w:rFonts w:ascii="Times New Roman" w:cs="Times New Roman" w:eastAsia="Times New Roman" w:hAnsi="Times New Roman"/>
          <w:sz w:val="16"/>
          <w:szCs w:val="16"/>
          <w:color w:val="auto"/>
        </w:rPr>
      </w:pPr>
    </w:p>
    <w:p>
      <w:pPr>
        <w:jc w:val="both"/>
        <w:ind w:firstLine="494"/>
        <w:spacing w:after="0" w:line="230" w:lineRule="auto"/>
        <w:tabs>
          <w:tab w:leader="none" w:pos="9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addition to the survival provision of </w:t>
      </w:r>
      <w:r>
        <w:rPr>
          <w:rFonts w:ascii="Times New Roman" w:cs="Times New Roman" w:eastAsia="Times New Roman" w:hAnsi="Times New Roman"/>
          <w:sz w:val="16"/>
          <w:szCs w:val="16"/>
          <w:u w:val="single" w:color="auto"/>
          <w:color w:val="auto"/>
        </w:rPr>
        <w:t>Section 7(b)(i)</w:t>
      </w:r>
      <w:r>
        <w:rPr>
          <w:rFonts w:ascii="Times New Roman" w:cs="Times New Roman" w:eastAsia="Times New Roman" w:hAnsi="Times New Roman"/>
          <w:sz w:val="16"/>
          <w:szCs w:val="16"/>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11"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6"/>
          <w:szCs w:val="16"/>
          <w:b w:val="1"/>
          <w:bCs w:val="1"/>
          <w:color w:val="auto"/>
        </w:rPr>
        <w:t>Section 8.</w:t>
      </w:r>
      <w:r>
        <w:rPr>
          <w:sz w:val="20"/>
          <w:szCs w:val="20"/>
          <w:color w:val="auto"/>
        </w:rPr>
        <w:tab/>
      </w:r>
      <w:r>
        <w:rPr>
          <w:rFonts w:ascii="Times New Roman" w:cs="Times New Roman" w:eastAsia="Times New Roman" w:hAnsi="Times New Roman"/>
          <w:sz w:val="16"/>
          <w:szCs w:val="16"/>
          <w:b w:val="1"/>
          <w:bCs w:val="1"/>
          <w:color w:val="auto"/>
        </w:rPr>
        <w:t>MISCELLANEOUS</w:t>
      </w:r>
    </w:p>
    <w:p>
      <w:pPr>
        <w:spacing w:after="0" w:line="148" w:lineRule="exact"/>
        <w:rPr>
          <w:sz w:val="20"/>
          <w:szCs w:val="20"/>
          <w:color w:val="auto"/>
        </w:rPr>
      </w:pPr>
    </w:p>
    <w:p>
      <w:pPr>
        <w:jc w:val="both"/>
        <w:ind w:firstLine="494"/>
        <w:spacing w:after="0" w:line="221" w:lineRule="auto"/>
        <w:tabs>
          <w:tab w:leader="none" w:pos="982"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Press Releases and Disclosure</w:t>
      </w:r>
      <w:r>
        <w:rPr>
          <w:rFonts w:ascii="Times New Roman" w:cs="Times New Roman" w:eastAsia="Times New Roman" w:hAnsi="Times New Roman"/>
          <w:sz w:val="16"/>
          <w:szCs w:val="16"/>
          <w:color w:val="auto"/>
        </w:rPr>
        <w:t>. The Company may issue a press release describing the material terms of the transactions contemplated hereby as soon as practicable following the date of this Agreement, and may file with the Commission a Current Report on Form 8 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116" w:lineRule="exact"/>
        <w:rPr>
          <w:rFonts w:ascii="Times New Roman" w:cs="Times New Roman" w:eastAsia="Times New Roman" w:hAnsi="Times New Roman"/>
          <w:sz w:val="16"/>
          <w:szCs w:val="16"/>
          <w:color w:val="auto"/>
        </w:rPr>
      </w:pPr>
    </w:p>
    <w:p>
      <w:pPr>
        <w:jc w:val="both"/>
        <w:ind w:firstLine="494"/>
        <w:spacing w:after="0" w:line="230" w:lineRule="auto"/>
        <w:tabs>
          <w:tab w:leader="none" w:pos="981"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Advisory or Fiduciary Relationship</w:t>
      </w:r>
      <w:r>
        <w:rPr>
          <w:rFonts w:ascii="Times New Roman" w:cs="Times New Roman" w:eastAsia="Times New Roman" w:hAnsi="Times New Roman"/>
          <w:sz w:val="16"/>
          <w:szCs w:val="16"/>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shareholders, creditors, employees or any other party, (iii) the Agent has not assumed nor will assume an advisory or fiduciary responsibility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1280"/>
          </w:cols>
          <w:pgMar w:left="300" w:top="1114" w:right="319" w:bottom="1440" w:gutter="0" w:footer="0" w:header="0"/>
        </w:sectPr>
      </w:pPr>
    </w:p>
    <w:bookmarkStart w:id="94" w:name="page95"/>
    <w:bookmarkEnd w:id="94"/>
    <w:p>
      <w:pPr>
        <w:jc w:val="both"/>
        <w:spacing w:after="0" w:line="227" w:lineRule="auto"/>
        <w:rPr>
          <w:sz w:val="20"/>
          <w:szCs w:val="20"/>
          <w:color w:val="auto"/>
        </w:rPr>
      </w:pPr>
      <w:r>
        <w:rPr>
          <w:rFonts w:ascii="Times New Roman" w:cs="Times New Roman" w:eastAsia="Times New Roman" w:hAnsi="Times New Roman"/>
          <w:sz w:val="16"/>
          <w:szCs w:val="16"/>
          <w:color w:val="auto"/>
        </w:rPr>
        <w:t>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15" w:lineRule="exact"/>
        <w:rPr>
          <w:sz w:val="20"/>
          <w:szCs w:val="20"/>
          <w:color w:val="auto"/>
        </w:rPr>
      </w:pPr>
    </w:p>
    <w:p>
      <w:pPr>
        <w:jc w:val="both"/>
        <w:ind w:firstLine="494"/>
        <w:spacing w:after="0" w:line="224" w:lineRule="auto"/>
        <w:tabs>
          <w:tab w:leader="none" w:pos="982"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Research Analyst Independence</w:t>
      </w:r>
      <w:r>
        <w:rPr>
          <w:rFonts w:ascii="Times New Roman" w:cs="Times New Roman" w:eastAsia="Times New Roman" w:hAnsi="Times New Roman"/>
          <w:sz w:val="16"/>
          <w:szCs w:val="16"/>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18" w:lineRule="exact"/>
        <w:rPr>
          <w:rFonts w:ascii="Times New Roman" w:cs="Times New Roman" w:eastAsia="Times New Roman" w:hAnsi="Times New Roman"/>
          <w:sz w:val="16"/>
          <w:szCs w:val="16"/>
          <w:color w:val="auto"/>
        </w:rPr>
      </w:pPr>
    </w:p>
    <w:p>
      <w:pPr>
        <w:ind w:firstLine="494"/>
        <w:spacing w:after="0" w:line="253" w:lineRule="auto"/>
        <w:tabs>
          <w:tab w:leader="none" w:pos="981"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communications hereunder shall be in writing and shall be mailed, hand delivered, sent via electronic mail (if applicable) or telecopied and confirmed to the parties hereto as follows: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to the Agent: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Jefferies LLC</w:t>
      </w: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520 Madison Avenue</w:t>
      </w:r>
    </w:p>
    <w:p>
      <w:pPr>
        <w:spacing w:after="0" w:line="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New York, NY 10022</w:t>
      </w:r>
    </w:p>
    <w:p>
      <w:pPr>
        <w:spacing w:after="0" w:line="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Facsimile: (646) 786-5719</w:t>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Attention: General Counsel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Cooley LLP</w:t>
      </w:r>
    </w:p>
    <w:p>
      <w:pPr>
        <w:spacing w:after="0" w:line="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55 Hudson Yards</w:t>
      </w:r>
    </w:p>
    <w:p>
      <w:pPr>
        <w:spacing w:after="0" w:line="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New York, NY 10001</w:t>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Attention: Daniel I. Goldberg, Esq.</w:t>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Facsimile: (212) 479-6275</w:t>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Email: [***]</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Crescent Biopharma, Inc.</w:t>
      </w: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300 Fifth Avenue</w:t>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Waltham, Massachusetts 02453</w:t>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Attention: General Counsel</w:t>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1280"/>
          </w:cols>
          <w:pgMar w:left="300" w:top="1093"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Latham &amp; Watkins LLP</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200 Clarendon Street</w:t>
      </w:r>
    </w:p>
    <w:p>
      <w:pPr>
        <w:spacing w:after="0" w:line="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Boston, Massachusetts 02116</w:t>
      </w:r>
    </w:p>
    <w:p>
      <w:pPr>
        <w:spacing w:after="0" w:line="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Attention: Peter N. Handrinos; Wesley C. Holmes</w:t>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Email: [***]</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Any party hereto may change the address for receipt of communications by giving written notice to the others in accordance with this </w:t>
      </w:r>
      <w:r>
        <w:rPr>
          <w:rFonts w:ascii="Times New Roman" w:cs="Times New Roman" w:eastAsia="Times New Roman" w:hAnsi="Times New Roman"/>
          <w:sz w:val="16"/>
          <w:szCs w:val="16"/>
          <w:u w:val="single" w:color="auto"/>
          <w:color w:val="auto"/>
        </w:rPr>
        <w:t>Section 8(d)</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firstLine="494"/>
        <w:spacing w:after="0" w:line="235" w:lineRule="auto"/>
        <w:tabs>
          <w:tab w:leader="none" w:pos="982"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w:t>
      </w:r>
      <w:r>
        <w:rPr>
          <w:rFonts w:ascii="Times New Roman" w:cs="Times New Roman" w:eastAsia="Times New Roman" w:hAnsi="Times New Roman"/>
          <w:sz w:val="16"/>
          <w:szCs w:val="16"/>
          <w:color w:val="auto"/>
        </w:rPr>
        <w:t xml:space="preserve">. This Agreement will inure to the benefit of and be binding upon the parties hereto, and to the benefit of the employees, officers and directors and controlling persons referred to in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16" w:lineRule="exact"/>
        <w:rPr>
          <w:rFonts w:ascii="Times New Roman" w:cs="Times New Roman" w:eastAsia="Times New Roman" w:hAnsi="Times New Roman"/>
          <w:sz w:val="16"/>
          <w:szCs w:val="16"/>
          <w:color w:val="auto"/>
        </w:rPr>
      </w:pPr>
    </w:p>
    <w:p>
      <w:pPr>
        <w:jc w:val="both"/>
        <w:ind w:firstLine="494"/>
        <w:spacing w:after="0" w:line="235" w:lineRule="auto"/>
        <w:tabs>
          <w:tab w:leader="none" w:pos="985"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Partial Unenforceability</w:t>
      </w:r>
      <w:r>
        <w:rPr>
          <w:rFonts w:ascii="Times New Roman" w:cs="Times New Roman" w:eastAsia="Times New Roman" w:hAnsi="Times New Roman"/>
          <w:sz w:val="16"/>
          <w:szCs w:val="16"/>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16" w:lineRule="exact"/>
        <w:rPr>
          <w:rFonts w:ascii="Times New Roman" w:cs="Times New Roman" w:eastAsia="Times New Roman" w:hAnsi="Times New Roman"/>
          <w:sz w:val="16"/>
          <w:szCs w:val="16"/>
          <w:color w:val="auto"/>
        </w:rPr>
      </w:pPr>
    </w:p>
    <w:p>
      <w:pPr>
        <w:ind w:left="980" w:hanging="486"/>
        <w:spacing w:after="0"/>
        <w:tabs>
          <w:tab w:leader="none" w:pos="9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Provisions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494"/>
        <w:spacing w:after="0" w:line="221" w:lineRule="auto"/>
        <w:tabs>
          <w:tab w:leader="none" w:pos="976"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Times New Roman" w:cs="Times New Roman" w:eastAsia="Times New Roman" w:hAnsi="Times New Roman"/>
          <w:sz w:val="16"/>
          <w:szCs w:val="16"/>
          <w:b w:val="1"/>
          <w:bCs w:val="1"/>
          <w:color w:val="auto"/>
        </w:rPr>
        <w:t>Related Proceedings</w:t>
      </w:r>
      <w:r>
        <w:rPr>
          <w:rFonts w:ascii="Times New Roman" w:cs="Times New Roman" w:eastAsia="Times New Roman" w:hAnsi="Times New Roman"/>
          <w:sz w:val="16"/>
          <w:szCs w:val="16"/>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6"/>
          <w:szCs w:val="16"/>
          <w:b w:val="1"/>
          <w:bCs w:val="1"/>
          <w:color w:val="auto"/>
        </w:rPr>
        <w:t>Specified Courts</w:t>
      </w:r>
      <w:r>
        <w:rPr>
          <w:rFonts w:ascii="Times New Roman" w:cs="Times New Roman" w:eastAsia="Times New Roman" w:hAnsi="Times New Roman"/>
          <w:sz w:val="16"/>
          <w:szCs w:val="16"/>
          <w:color w:val="auto"/>
        </w:rPr>
        <w:t>”), and each party irrevocably submits to the exclusive jurisdiction (except for proceedings instituted in regard to the enforcement of a judgment of any such court (a “</w:t>
      </w:r>
      <w:r>
        <w:rPr>
          <w:rFonts w:ascii="Times New Roman" w:cs="Times New Roman" w:eastAsia="Times New Roman" w:hAnsi="Times New Roman"/>
          <w:sz w:val="16"/>
          <w:szCs w:val="16"/>
          <w:b w:val="1"/>
          <w:bCs w:val="1"/>
          <w:color w:val="auto"/>
        </w:rPr>
        <w:t>Related Judgment</w:t>
      </w:r>
      <w:r>
        <w:rPr>
          <w:rFonts w:ascii="Times New Roman" w:cs="Times New Roman" w:eastAsia="Times New Roman" w:hAnsi="Times New Roman"/>
          <w:sz w:val="16"/>
          <w:szCs w:val="16"/>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16" w:lineRule="exact"/>
        <w:rPr>
          <w:rFonts w:ascii="Times New Roman" w:cs="Times New Roman" w:eastAsia="Times New Roman" w:hAnsi="Times New Roman"/>
          <w:sz w:val="16"/>
          <w:szCs w:val="16"/>
          <w:color w:val="auto"/>
        </w:rPr>
      </w:pPr>
    </w:p>
    <w:p>
      <w:pPr>
        <w:jc w:val="both"/>
        <w:ind w:firstLine="494"/>
        <w:spacing w:after="0" w:line="227" w:lineRule="auto"/>
        <w:tabs>
          <w:tab w:leader="none" w:pos="9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1280"/>
          </w:cols>
          <w:pgMar w:left="300" w:top="1114" w:right="319" w:bottom="1440" w:gutter="0" w:footer="0" w:header="0"/>
        </w:sectPr>
      </w:pPr>
    </w:p>
    <w:bookmarkStart w:id="96" w:name="page97"/>
    <w:bookmarkEnd w:id="96"/>
    <w:p>
      <w:pPr>
        <w:jc w:val="both"/>
        <w:ind w:firstLine="494"/>
        <w:spacing w:after="0" w:line="227" w:lineRule="auto"/>
        <w:tabs>
          <w:tab w:leader="none" w:pos="981"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Judgment Currency</w:t>
      </w:r>
      <w:r>
        <w:rPr>
          <w:rFonts w:ascii="Times New Roman" w:cs="Times New Roman" w:eastAsia="Times New Roman" w:hAnsi="Times New Roman"/>
          <w:sz w:val="16"/>
          <w:szCs w:val="16"/>
          <w:color w:val="auto"/>
        </w:rPr>
        <w:t>. The obligations of the Company pursuant to this Agreement in respect of any sum due to the Agent shall, notwithstanding any judgment in a currency other than United States dollars, not be discharged until the first business day, following receipt by the Agent of any sum adjudged to be so due in such other currency, on which (and only to the extent that) the Agent may in accordance with normal banking procedures purchase United States dollars with such other currency; if the United States dollars so purchased are less than the sum originally due to the Agent hereunder, the Company agrees, as a separate obligation and notwithstanding any such judgment, to indemnify the Agent against such loss.</w:t>
      </w:r>
    </w:p>
    <w:p>
      <w:pPr>
        <w:spacing w:after="0" w:line="114" w:lineRule="exact"/>
        <w:rPr>
          <w:rFonts w:ascii="Times New Roman" w:cs="Times New Roman" w:eastAsia="Times New Roman" w:hAnsi="Times New Roman"/>
          <w:sz w:val="16"/>
          <w:szCs w:val="16"/>
          <w:color w:val="auto"/>
        </w:rPr>
      </w:pPr>
    </w:p>
    <w:p>
      <w:pPr>
        <w:jc w:val="both"/>
        <w:ind w:firstLine="494"/>
        <w:spacing w:after="0" w:line="227" w:lineRule="auto"/>
        <w:tabs>
          <w:tab w:leader="none" w:pos="976"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Gross Up</w:t>
      </w:r>
      <w:r>
        <w:rPr>
          <w:rFonts w:ascii="Times New Roman" w:cs="Times New Roman" w:eastAsia="Times New Roman" w:hAnsi="Times New Roman"/>
          <w:sz w:val="16"/>
          <w:szCs w:val="16"/>
          <w:color w:val="auto"/>
        </w:rPr>
        <w:t>. All payments made by the Company to the Agent under this Agreement, if any, will be made without withholding or deduction for or on account of any present or future taxes, duties, assessments or governmental charges of whatever nature (other than taxes on net income) imposed or levied by any jurisdiction or any political subdivision or any taxing authority thereof or therein unless the Company is or becomes required by law to withhold or deduct such taxes, duties, assessments or other governmental charges. In such event, the Company shall pay such additional amounts as will result, after such withholding or deduction, in the receipt by the Agent and each person controlling the Agent, as the case may be, of the amounts that would otherwise have been received had no withholding or deduction been made.</w:t>
      </w:r>
    </w:p>
    <w:p>
      <w:pPr>
        <w:spacing w:after="0" w:line="114" w:lineRule="exact"/>
        <w:rPr>
          <w:rFonts w:ascii="Times New Roman" w:cs="Times New Roman" w:eastAsia="Times New Roman" w:hAnsi="Times New Roman"/>
          <w:sz w:val="16"/>
          <w:szCs w:val="16"/>
          <w:color w:val="auto"/>
        </w:rPr>
      </w:pPr>
    </w:p>
    <w:p>
      <w:pPr>
        <w:jc w:val="both"/>
        <w:ind w:firstLine="494"/>
        <w:spacing w:after="0"/>
        <w:tabs>
          <w:tab w:leader="none" w:pos="976"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 Provisions</w:t>
      </w:r>
      <w:r>
        <w:rPr>
          <w:rFonts w:ascii="Times New Roman" w:cs="Times New Roman" w:eastAsia="Times New Roman" w:hAnsi="Times New Roman"/>
          <w:sz w:val="16"/>
          <w:szCs w:val="16"/>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Immediately Follows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1280"/>
          </w:cols>
          <w:pgMar w:left="300" w:top="1093" w:right="319" w:bottom="1440" w:gutter="0" w:footer="0" w:header="0"/>
        </w:sectPr>
      </w:pPr>
    </w:p>
    <w:bookmarkStart w:id="97" w:name="page98"/>
    <w:bookmarkEnd w:id="97"/>
    <w:p>
      <w:pPr>
        <w:ind w:firstLine="492"/>
        <w:spacing w:after="0" w:line="293" w:lineRule="auto"/>
        <w:rPr>
          <w:sz w:val="20"/>
          <w:szCs w:val="20"/>
          <w:color w:val="auto"/>
        </w:rPr>
      </w:pPr>
      <w:r>
        <w:rPr>
          <w:rFonts w:ascii="Times New Roman" w:cs="Times New Roman" w:eastAsia="Times New Roman" w:hAnsi="Times New Roman"/>
          <w:sz w:val="16"/>
          <w:szCs w:val="16"/>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0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8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6"/>
          <w:szCs w:val="16"/>
          <w:b w:val="1"/>
          <w:bCs w:val="1"/>
          <w:color w:val="auto"/>
        </w:rPr>
        <w:t>CRESCENT BIOPHARMA, INC.</w:t>
      </w:r>
    </w:p>
    <w:p>
      <w:pPr>
        <w:spacing w:after="0" w:line="343" w:lineRule="exact"/>
        <w:rPr>
          <w:sz w:val="20"/>
          <w:szCs w:val="20"/>
          <w:color w:val="auto"/>
        </w:rPr>
      </w:pPr>
    </w:p>
    <w:p>
      <w:pPr>
        <w:ind w:left="2960"/>
        <w:spacing w:after="0"/>
        <w:tabs>
          <w:tab w:leader="none" w:pos="3380" w:val="left"/>
        </w:tabs>
        <w:rPr>
          <w:sz w:val="20"/>
          <w:szCs w:val="20"/>
          <w:color w:val="auto"/>
        </w:rPr>
      </w:pPr>
      <w:r>
        <w:rPr>
          <w:rFonts w:ascii="Times New Roman" w:cs="Times New Roman" w:eastAsia="Times New Roman" w:hAnsi="Times New Roman"/>
          <w:sz w:val="16"/>
          <w:szCs w:val="16"/>
          <w:color w:val="auto"/>
        </w:rPr>
        <w:t>By:</w:t>
        <w:tab/>
        <w:t>/s/ Joshua Brumm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2158365</wp:posOffset>
            </wp:positionH>
            <wp:positionV relativeFrom="paragraph">
              <wp:posOffset>-5080</wp:posOffset>
            </wp:positionV>
            <wp:extent cx="85725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857250" cy="6350"/>
                    </a:xfrm>
                    <a:prstGeom prst="rect">
                      <a:avLst/>
                    </a:prstGeom>
                    <a:noFill/>
                  </pic:spPr>
                </pic:pic>
              </a:graphicData>
            </a:graphic>
          </wp:anchor>
        </w:drawing>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6"/>
          <w:szCs w:val="16"/>
          <w:color w:val="auto"/>
        </w:rPr>
        <w:t>Name: Joshua Brumm</w:t>
      </w:r>
    </w:p>
    <w:p>
      <w:pPr>
        <w:spacing w:after="0" w:line="1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3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foregoing Agreement is hereby confirmed and accepted by the Agent in New York, New York as of the date first above written.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JEFFERIES LLC</w:t>
      </w:r>
    </w:p>
    <w:p>
      <w:pPr>
        <w:spacing w:after="0" w:line="343" w:lineRule="exact"/>
        <w:rPr>
          <w:sz w:val="20"/>
          <w:szCs w:val="20"/>
          <w:color w:val="auto"/>
        </w:rPr>
      </w:pPr>
    </w:p>
    <w:p>
      <w:pPr>
        <w:jc w:val="both"/>
        <w:spacing w:after="0"/>
        <w:tabs>
          <w:tab w:leader="none" w:pos="420" w:val="left"/>
        </w:tabs>
        <w:rPr>
          <w:sz w:val="20"/>
          <w:szCs w:val="20"/>
          <w:color w:val="auto"/>
        </w:rPr>
      </w:pPr>
      <w:r>
        <w:rPr>
          <w:rFonts w:ascii="Times New Roman" w:cs="Times New Roman" w:eastAsia="Times New Roman" w:hAnsi="Times New Roman"/>
          <w:sz w:val="16"/>
          <w:szCs w:val="16"/>
          <w:color w:val="auto"/>
        </w:rPr>
        <w:t>By:</w:t>
        <w:tab/>
        <w:t>/s/ Michael Magarro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-5080</wp:posOffset>
            </wp:positionV>
            <wp:extent cx="95504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extLst>
                    </a:blip>
                    <a:srcRect/>
                    <a:stretch>
                      <a:fillRect/>
                    </a:stretch>
                  </pic:blipFill>
                  <pic:spPr bwMode="auto">
                    <a:xfrm>
                      <a:off x="0" y="0"/>
                      <a:ext cx="955040" cy="6350"/>
                    </a:xfrm>
                    <a:prstGeom prst="rect">
                      <a:avLst/>
                    </a:prstGeom>
                    <a:noFill/>
                  </pic:spPr>
                </pic:pic>
              </a:graphicData>
            </a:graphic>
          </wp:anchor>
        </w:drawing>
      </w:r>
    </w:p>
    <w:p>
      <w:pPr>
        <w:spacing w:after="0" w:line="9" w:lineRule="exact"/>
        <w:rPr>
          <w:sz w:val="20"/>
          <w:szCs w:val="20"/>
          <w:color w:val="auto"/>
        </w:rPr>
      </w:pPr>
    </w:p>
    <w:p>
      <w:pPr>
        <w:jc w:val="right"/>
        <w:ind w:right="9500"/>
        <w:spacing w:after="0"/>
        <w:rPr>
          <w:sz w:val="20"/>
          <w:szCs w:val="20"/>
          <w:color w:val="auto"/>
        </w:rPr>
      </w:pPr>
      <w:r>
        <w:rPr>
          <w:rFonts w:ascii="Times New Roman" w:cs="Times New Roman" w:eastAsia="Times New Roman" w:hAnsi="Times New Roman"/>
          <w:sz w:val="16"/>
          <w:szCs w:val="16"/>
          <w:color w:val="auto"/>
        </w:rPr>
        <w:t>Name: Michael Magarro</w:t>
      </w:r>
    </w:p>
    <w:p>
      <w:pPr>
        <w:spacing w:after="0" w:line="11" w:lineRule="exact"/>
        <w:rPr>
          <w:sz w:val="20"/>
          <w:szCs w:val="20"/>
          <w:color w:val="auto"/>
        </w:rPr>
      </w:pPr>
    </w:p>
    <w:p>
      <w:pPr>
        <w:jc w:val="right"/>
        <w:ind w:right="9480"/>
        <w:spacing w:after="0"/>
        <w:rPr>
          <w:sz w:val="20"/>
          <w:szCs w:val="20"/>
          <w:color w:val="auto"/>
        </w:rPr>
      </w:pPr>
      <w:r>
        <w:rPr>
          <w:rFonts w:ascii="Times New Roman" w:cs="Times New Roman" w:eastAsia="Times New Roman" w:hAnsi="Times New Roman"/>
          <w:sz w:val="16"/>
          <w:szCs w:val="16"/>
          <w:color w:val="auto"/>
        </w:rPr>
        <w:t>Title: Managing Director</w:t>
      </w:r>
    </w:p>
    <w:p>
      <w:pPr>
        <w:sectPr>
          <w:pgSz w:w="11900" w:h="16838" w:orient="portrait"/>
          <w:cols w:equalWidth="0" w:num="1">
            <w:col w:w="11280"/>
          </w:cols>
          <w:pgMar w:left="300" w:top="1278" w:right="31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ISSUANCE NOTICE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Jefferies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520 Madison Avenue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 10022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[__________]</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Reference is made to the Open Market Sale Agreement</w:t>
      </w: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6"/>
          <w:szCs w:val="16"/>
          <w:color w:val="auto"/>
        </w:rPr>
        <w:t xml:space="preserve"> between Crescent Biopharma,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Jefferies LLC (the “</w:t>
      </w:r>
      <w:r>
        <w:rPr>
          <w:rFonts w:ascii="Times New Roman" w:cs="Times New Roman" w:eastAsia="Times New Roman" w:hAnsi="Times New Roman"/>
          <w:sz w:val="16"/>
          <w:szCs w:val="16"/>
          <w:b w:val="1"/>
          <w:bCs w:val="1"/>
          <w:color w:val="auto"/>
        </w:rPr>
        <w:t>Agent</w:t>
      </w:r>
      <w:r>
        <w:rPr>
          <w:rFonts w:ascii="Times New Roman" w:cs="Times New Roman" w:eastAsia="Times New Roman" w:hAnsi="Times New Roman"/>
          <w:sz w:val="16"/>
          <w:szCs w:val="16"/>
          <w:color w:val="auto"/>
        </w:rPr>
        <w:t>”) dated as of July 1, 2026.</w:t>
      </w:r>
    </w:p>
    <w:p>
      <w:pPr>
        <w:spacing w:after="0"/>
        <w:rPr>
          <w:sz w:val="20"/>
          <w:szCs w:val="20"/>
          <w:color w:val="auto"/>
        </w:rPr>
      </w:pPr>
      <w:r>
        <w:rPr>
          <w:rFonts w:ascii="Times New Roman" w:cs="Times New Roman" w:eastAsia="Times New Roman" w:hAnsi="Times New Roman"/>
          <w:sz w:val="16"/>
          <w:szCs w:val="16"/>
          <w:color w:val="auto"/>
        </w:rPr>
        <w:t>The Company confirms that all conditions to the delivery of this Issuance Notice are satisfied as of the date hereof.</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of Delivery of Issuance Notice (determined pursuant to Section 3(b)(i)):</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Issuance Amount (equal to the total Sales Price for such Shares):</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-5080</wp:posOffset>
            </wp:positionV>
            <wp:extent cx="10414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extLst>
                    </a:blip>
                    <a:srcRect/>
                    <a:stretch>
                      <a:fillRect/>
                    </a:stretch>
                  </pic:blipFill>
                  <pic:spPr bwMode="auto">
                    <a:xfrm>
                      <a:off x="0" y="0"/>
                      <a:ext cx="104140" cy="635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Last day to use Form S-3 (File No. [X]): [Date]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-5080</wp:posOffset>
            </wp:positionV>
            <wp:extent cx="10414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a:extLst>
                        <a:ext uri="{28A0092B-C50C-407E-A947-70E740481C1C}"/>
                      </a:extLst>
                    </a:blip>
                    <a:srcRect/>
                    <a:stretch>
                      <a:fillRect/>
                    </a:stretch>
                  </pic:blipFill>
                  <pic:spPr bwMode="auto">
                    <a:xfrm>
                      <a:off x="0" y="0"/>
                      <a:ext cx="104140" cy="635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1234440</wp:posOffset>
            </wp:positionH>
            <wp:positionV relativeFrom="paragraph">
              <wp:posOffset>-5080</wp:posOffset>
            </wp:positionV>
            <wp:extent cx="10414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extLst>
                    </a:blip>
                    <a:srcRect/>
                    <a:stretch>
                      <a:fillRect/>
                    </a:stretch>
                  </pic:blipFill>
                  <pic:spPr bwMode="auto">
                    <a:xfrm>
                      <a:off x="0" y="0"/>
                      <a:ext cx="104140" cy="635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-5080</wp:posOffset>
            </wp:positionV>
            <wp:extent cx="10414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extLst>
                    </a:blip>
                    <a:srcRect/>
                    <a:stretch>
                      <a:fillRect/>
                    </a:stretch>
                  </pic:blipFill>
                  <pic:spPr bwMode="auto">
                    <a:xfrm>
                      <a:off x="0" y="0"/>
                      <a:ext cx="104140" cy="6350"/>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Settlement Date(s) if other than standard T+1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274320</wp:posOffset>
            </wp:positionV>
            <wp:extent cx="10414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extLst>
                    </a:blip>
                    <a:srcRect/>
                    <a:stretch>
                      <a:fillRect/>
                    </a:stretch>
                  </pic:blipFill>
                  <pic:spPr bwMode="auto">
                    <a:xfrm>
                      <a:off x="0" y="0"/>
                      <a:ext cx="1041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Floor Price Limitation (in no event less than $1.00 without the prior written consent of the Agent, which consent may be withheld in the Agent’s sole discretion): $ 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 share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-5080</wp:posOffset>
            </wp:positionV>
            <wp:extent cx="20828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208280" cy="6350"/>
                    </a:xfrm>
                    <a:prstGeom prst="rect">
                      <a:avLst/>
                    </a:prstGeom>
                    <a:noFill/>
                  </pic:spPr>
                </pic:pic>
              </a:graphicData>
            </a:graphic>
          </wp:anchor>
        </w:drawing>
      </w: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By:</w:t>
      </w:r>
    </w:p>
    <w:p>
      <w:pPr>
        <w:spacing w:after="0" w:line="18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6"/>
          <w:szCs w:val="16"/>
          <w:color w:val="auto"/>
        </w:rPr>
        <w:t>Name:</w:t>
      </w:r>
    </w:p>
    <w:p>
      <w:pPr>
        <w:spacing w:after="0" w:line="2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6"/>
          <w:szCs w:val="16"/>
          <w:color w:val="auto"/>
        </w:rPr>
        <w:t>Title:</w:t>
      </w:r>
    </w:p>
    <w:p>
      <w:pPr>
        <w:sectPr>
          <w:pgSz w:w="11900" w:h="16838" w:orient="portrait"/>
          <w:cols w:equalWidth="0" w:num="1">
            <w:col w:w="11280"/>
          </w:cols>
          <w:pgMar w:left="300" w:top="1274" w:right="319" w:bottom="1440" w:gutter="0" w:footer="0" w:header="0"/>
        </w:sectPr>
      </w:pPr>
    </w:p>
    <w:bookmarkStart w:id="99" w:name="page100"/>
    <w:bookmarkEnd w:id="99"/>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Schedule A</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Notice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Joshua Brumm (***)</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Richard Scalzo (***)</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The Agent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Michael Magarro (***)</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Donald Lynaugh (***)</w:t>
      </w:r>
    </w:p>
    <w:p>
      <w:pPr>
        <w:sectPr>
          <w:pgSz w:w="11900" w:h="16838" w:orient="portrait"/>
          <w:cols w:equalWidth="0" w:num="1">
            <w:col w:w="10159"/>
          </w:cols>
          <w:pgMar w:left="300" w:top="1110" w:right="1440"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6"/>
          <w:szCs w:val="16"/>
          <w:b w:val="1"/>
          <w:bCs w:val="1"/>
          <w:color w:val="auto"/>
        </w:rPr>
        <w:t>Exhibit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739140</wp:posOffset>
            </wp:positionV>
            <wp:extent cx="10414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extLst>
                    </a:blip>
                    <a:srcRect/>
                    <a:stretch>
                      <a:fillRect/>
                    </a:stretch>
                  </pic:blipFill>
                  <pic:spPr bwMode="auto">
                    <a:xfrm>
                      <a:off x="0" y="0"/>
                      <a:ext cx="1041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b w:val="1"/>
          <w:bCs w:val="1"/>
          <w:color w:val="auto"/>
        </w:rPr>
        <w:t>CRESCENT BIOPHARMA,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2221865</wp:posOffset>
            </wp:positionH>
            <wp:positionV relativeFrom="paragraph">
              <wp:posOffset>276860</wp:posOffset>
            </wp:positionV>
            <wp:extent cx="127698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a:extLst>
                        <a:ext uri="{28A0092B-C50C-407E-A947-70E740481C1C}"/>
                      </a:extLst>
                    </a:blip>
                    <a:srcRect/>
                    <a:stretch>
                      <a:fillRect/>
                    </a:stretch>
                  </pic:blipFill>
                  <pic:spPr bwMode="auto">
                    <a:xfrm>
                      <a:off x="0" y="0"/>
                      <a:ext cx="12769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INDENTURE</w:t>
      </w:r>
    </w:p>
    <w:p>
      <w:pPr>
        <w:spacing w:after="0" w:line="26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color w:val="auto"/>
        </w:rPr>
        <w:t>Dated as of 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2247900</wp:posOffset>
            </wp:positionH>
            <wp:positionV relativeFrom="paragraph">
              <wp:posOffset>274320</wp:posOffset>
            </wp:positionV>
            <wp:extent cx="122491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extLst>
                    </a:blip>
                    <a:srcRect/>
                    <a:stretch>
                      <a:fillRect/>
                    </a:stretch>
                  </pic:blipFill>
                  <pic:spPr bwMode="auto">
                    <a:xfrm>
                      <a:off x="0" y="0"/>
                      <a:ext cx="122491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[_________]</w:t>
      </w:r>
    </w:p>
    <w:p>
      <w:pPr>
        <w:spacing w:after="0" w:line="26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749300</wp:posOffset>
            </wp:positionV>
            <wp:extent cx="10414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a:extLst>
                        <a:ext uri="{28A0092B-C50C-407E-A947-70E740481C1C}"/>
                      </a:extLst>
                    </a:blip>
                    <a:srcRect/>
                    <a:stretch>
                      <a:fillRect/>
                    </a:stretch>
                  </pic:blipFill>
                  <pic:spPr bwMode="auto">
                    <a:xfrm>
                      <a:off x="0" y="0"/>
                      <a:ext cx="104140" cy="6350"/>
                    </a:xfrm>
                    <a:prstGeom prst="rect">
                      <a:avLst/>
                    </a:prstGeom>
                    <a:noFill/>
                  </pic:spPr>
                </pic:pic>
              </a:graphicData>
            </a:graphic>
          </wp:anchor>
        </w:drawing>
      </w:r>
    </w:p>
    <w:p>
      <w:pPr>
        <w:sectPr>
          <w:pgSz w:w="11900" w:h="16838" w:orient="portrait"/>
          <w:cols w:equalWidth="0" w:num="1">
            <w:col w:w="10140"/>
          </w:cols>
          <w:pgMar w:left="1440" w:top="125" w:right="319" w:bottom="1440" w:gutter="0" w:footer="0" w:header="0"/>
        </w:sectPr>
      </w:pPr>
    </w:p>
    <w:bookmarkStart w:id="101" w:name="page102"/>
    <w:bookmarkEnd w:id="101"/>
    <w:tbl>
      <w:tblPr>
        <w:tblLayout w:type="fixed"/>
        <w:tblInd w:w="20" w:type="dxa"/>
        <w:tblCellMar>
          <w:top w:w="0" w:type="dxa"/>
          <w:left w:w="0" w:type="dxa"/>
          <w:bottom w:w="0" w:type="dxa"/>
          <w:right w:w="0" w:type="dxa"/>
        </w:tblCellMar>
      </w:tblPr>
      <w:tr>
        <w:trPr>
          <w:trHeight w:val="218"/>
        </w:trPr>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20" w:type="dxa"/>
            <w:vAlign w:val="bottom"/>
          </w:tcPr>
          <w:p>
            <w:pPr>
              <w:ind w:left="33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320" w:type="dxa"/>
            <w:vAlign w:val="bottom"/>
          </w:tcPr>
          <w:p>
            <w:pPr>
              <w:spacing w:after="0"/>
              <w:rPr>
                <w:sz w:val="18"/>
                <w:szCs w:val="18"/>
                <w:color w:val="auto"/>
              </w:rPr>
            </w:pPr>
          </w:p>
        </w:tc>
      </w:tr>
      <w:tr>
        <w:trPr>
          <w:trHeight w:val="319"/>
        </w:trPr>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Page</w:t>
            </w:r>
          </w:p>
        </w:tc>
      </w:tr>
      <w:tr>
        <w:trPr>
          <w:trHeight w:val="390"/>
        </w:trPr>
        <w:tc>
          <w:tcPr>
            <w:tcW w:w="10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ARTICLE I.  DEFINITIONS AND INCORPORATION BY REFERENCE</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1.1.</w:t>
            </w:r>
          </w:p>
        </w:tc>
        <w:tc>
          <w:tcPr>
            <w:tcW w:w="9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Definitions.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1.2.</w:t>
            </w:r>
          </w:p>
        </w:tc>
        <w:tc>
          <w:tcPr>
            <w:tcW w:w="9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Definitions.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5"/>
        </w:trPr>
        <w:tc>
          <w:tcPr>
            <w:tcW w:w="10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1.3.   Incorporation by Reference of Trust Indenture Act.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5"/>
        </w:trPr>
        <w:tc>
          <w:tcPr>
            <w:tcW w:w="10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1.4.   Rules of Construction.</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5"/>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ARTICLE II.</w:t>
            </w:r>
          </w:p>
        </w:tc>
        <w:tc>
          <w:tcPr>
            <w:tcW w:w="9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THE SECURITIES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5"/>
        </w:trPr>
        <w:tc>
          <w:tcPr>
            <w:tcW w:w="10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2.1.   Issuable in Series.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5"/>
        </w:trPr>
        <w:tc>
          <w:tcPr>
            <w:tcW w:w="10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2.2.   Establishment of Terms of Series of Securities.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5"/>
        </w:trPr>
        <w:tc>
          <w:tcPr>
            <w:tcW w:w="10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2.3.   Execution and Authentication.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5"/>
        </w:trPr>
        <w:tc>
          <w:tcPr>
            <w:tcW w:w="10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2.4.   Registrar, Paying Agent and Notice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5"/>
        </w:trPr>
        <w:tc>
          <w:tcPr>
            <w:tcW w:w="10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2.5.   Paying Agent to Hold Money in Trust.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5"/>
        </w:trPr>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2.6.</w:t>
            </w:r>
          </w:p>
        </w:tc>
        <w:tc>
          <w:tcPr>
            <w:tcW w:w="9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Holder Lists.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5"/>
        </w:trPr>
        <w:tc>
          <w:tcPr>
            <w:tcW w:w="10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2.7.   Transfer and Exchange.</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5"/>
        </w:trPr>
        <w:tc>
          <w:tcPr>
            <w:tcW w:w="10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2.8.   Mutilated, Destroyed, Lost and Stolen Securities.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5"/>
        </w:trPr>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2.9.</w:t>
            </w:r>
          </w:p>
        </w:tc>
        <w:tc>
          <w:tcPr>
            <w:tcW w:w="9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Outstanding Securities.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5"/>
        </w:trPr>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2.10.</w:t>
            </w:r>
          </w:p>
        </w:tc>
        <w:tc>
          <w:tcPr>
            <w:tcW w:w="9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Securities.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5"/>
        </w:trPr>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2.11.</w:t>
            </w:r>
          </w:p>
        </w:tc>
        <w:tc>
          <w:tcPr>
            <w:tcW w:w="9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Temporary Securities.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5"/>
        </w:trPr>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2.12.</w:t>
            </w:r>
          </w:p>
        </w:tc>
        <w:tc>
          <w:tcPr>
            <w:tcW w:w="9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Cancellation.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5"/>
        </w:trPr>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2.13.</w:t>
            </w:r>
          </w:p>
        </w:tc>
        <w:tc>
          <w:tcPr>
            <w:tcW w:w="9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Defaulted Interest.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5"/>
        </w:trPr>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2.14.</w:t>
            </w:r>
          </w:p>
        </w:tc>
        <w:tc>
          <w:tcPr>
            <w:tcW w:w="9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Global Securities.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5"/>
        </w:trPr>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2.15.</w:t>
            </w:r>
          </w:p>
        </w:tc>
        <w:tc>
          <w:tcPr>
            <w:tcW w:w="9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CUSIP Numbers.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5"/>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ARTICLE III.</w:t>
            </w:r>
          </w:p>
        </w:tc>
        <w:tc>
          <w:tcPr>
            <w:tcW w:w="99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REDEMPTION</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5"/>
        </w:trPr>
        <w:tc>
          <w:tcPr>
            <w:tcW w:w="10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3.1.   Notice to Trustee.</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5"/>
        </w:trPr>
        <w:tc>
          <w:tcPr>
            <w:tcW w:w="10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3.2.   Selection of Securities to be Redeemed.</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5"/>
        </w:trPr>
        <w:tc>
          <w:tcPr>
            <w:tcW w:w="10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3.3.   Notice of Redemption.</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5"/>
        </w:trPr>
        <w:tc>
          <w:tcPr>
            <w:tcW w:w="10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3.4.   Effect of Notice of Redemption.</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5"/>
        </w:trPr>
        <w:tc>
          <w:tcPr>
            <w:tcW w:w="10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3.5.   Deposit of Redemption Price.</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5"/>
        </w:trPr>
        <w:tc>
          <w:tcPr>
            <w:tcW w:w="10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3.6.   Securities Redeemed in Part.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5"/>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ARTICLE IV.</w:t>
            </w:r>
          </w:p>
        </w:tc>
        <w:tc>
          <w:tcPr>
            <w:tcW w:w="99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COVENANTS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5"/>
        </w:trPr>
        <w:tc>
          <w:tcPr>
            <w:tcW w:w="10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4.1.   Payment of Principal and Interest.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5"/>
        </w:trPr>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4.2.</w:t>
            </w:r>
          </w:p>
        </w:tc>
        <w:tc>
          <w:tcPr>
            <w:tcW w:w="9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SEC Reports.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5"/>
        </w:trPr>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4.3.</w:t>
            </w:r>
          </w:p>
        </w:tc>
        <w:tc>
          <w:tcPr>
            <w:tcW w:w="9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Compliance Certificate.</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5"/>
        </w:trPr>
        <w:tc>
          <w:tcPr>
            <w:tcW w:w="10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4.4.   Stay, Extension and Usury Laws.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5"/>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ARTICLE V.</w:t>
            </w:r>
          </w:p>
        </w:tc>
        <w:tc>
          <w:tcPr>
            <w:tcW w:w="99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SUCCESSORS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5"/>
        </w:trPr>
        <w:tc>
          <w:tcPr>
            <w:tcW w:w="10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5.1.   When Company May Merge, Etc.</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5"/>
        </w:trPr>
        <w:tc>
          <w:tcPr>
            <w:tcW w:w="10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5.2.   Successor Corporation Substituted.</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5"/>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ARTICLE VI.</w:t>
            </w:r>
          </w:p>
        </w:tc>
        <w:tc>
          <w:tcPr>
            <w:tcW w:w="9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DEFAULTS AND REMEDIES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5"/>
        </w:trPr>
        <w:tc>
          <w:tcPr>
            <w:tcW w:w="10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6.1.   Events of Default.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4"/>
        </w:trPr>
        <w:tc>
          <w:tcPr>
            <w:tcW w:w="10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6.2.   Acceleration of Maturity; Rescission and Annulment.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|US-DOCS\172721963.4||</w:t>
      </w:r>
    </w:p>
    <w:p>
      <w:pPr>
        <w:sectPr>
          <w:pgSz w:w="11900" w:h="16838" w:orient="portrait"/>
          <w:cols w:equalWidth="0" w:num="1">
            <w:col w:w="11280"/>
          </w:cols>
          <w:pgMar w:left="300" w:top="1110" w:right="3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6.3.   Collection of Indebtedness and Suits for Enforcement by Trustee.</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6.4.   Trustee May File Proofs of Claim.</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6.5.   Trustee May Enforce Claims Without Possession of Securities.</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6.6.   Application of Money Collected.</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6.7.   Limitation on Suits.</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6.8.   Unconditional Right of Holders to Receive Principal and Interest.</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6.9.   Restoration of Rights and Remedies.</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6.10.   Rights and Remedies Cumulative.</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6.11.   Delay or Omission Not Waiver.</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6.12.   Control by Holders.</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6.13.   Waiver of Past Defaults.</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6.14.   Undertaking for Costs.</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5"/>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ARTICLE VII.</w:t>
            </w:r>
          </w:p>
        </w:tc>
        <w:tc>
          <w:tcPr>
            <w:tcW w:w="7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TRUSTEE</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7.1.   Duties of Trustee.</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7.2.   Rights of Trustee.</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7.3.   Individual Rights of Trustee.</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5"/>
        </w:trPr>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7.4.</w:t>
            </w:r>
          </w:p>
        </w:tc>
        <w:tc>
          <w:tcPr>
            <w:tcW w:w="70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Trustee’s Disclaimer.</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7.5.   Notice of Defaults.</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7.6.   Reports by Trustee to Holders.</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7.7.   Compensation and Indemnity.</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7.8.   Replacement of Trustee.</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7.9.   Successor Trustee by Merger, Etc.</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5"/>
        </w:trPr>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7.10.</w:t>
            </w:r>
          </w:p>
        </w:tc>
        <w:tc>
          <w:tcPr>
            <w:tcW w:w="7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Eligibility; Disqualification.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7.11.   Preferential Collection of Claims Against Company.</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5"/>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w w:val="98"/>
              </w:rPr>
              <w:t>ARTICLE VIII.</w:t>
            </w:r>
          </w:p>
        </w:tc>
        <w:tc>
          <w:tcPr>
            <w:tcW w:w="74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SATISFACTION AND DISCHARGE; DEFEASANCE</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8.1.   Satisfaction and Discharge of Indenture.</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8.2.   Application of Trust Funds; Indemnification.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8.3.   Legal Defeasance of Securities of any Series.</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5"/>
        </w:trPr>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8.4.</w:t>
            </w:r>
          </w:p>
        </w:tc>
        <w:tc>
          <w:tcPr>
            <w:tcW w:w="7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Covenant Defeasance.</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8.5.   Repayment to Company.</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5"/>
        </w:trPr>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8.6.</w:t>
            </w:r>
          </w:p>
        </w:tc>
        <w:tc>
          <w:tcPr>
            <w:tcW w:w="7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Reinstatement.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5"/>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ARTICLE IX.</w:t>
            </w: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AMENDMENTS AND WAIVERS</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9.1.   Without Consent of Holders.</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5"/>
        </w:trPr>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9.2.</w:t>
            </w:r>
          </w:p>
        </w:tc>
        <w:tc>
          <w:tcPr>
            <w:tcW w:w="70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5"/>
        </w:trPr>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9.3.</w:t>
            </w:r>
          </w:p>
        </w:tc>
        <w:tc>
          <w:tcPr>
            <w:tcW w:w="7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Limitations.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9.4.   Compliance with Trust Indenture Act.</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9.5.   Revocation and Effect of Consents.</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5"/>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9.6.   Notation on or Exchange of Securities.</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5"/>
        </w:trPr>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9.7.</w:t>
            </w:r>
          </w:p>
        </w:tc>
        <w:tc>
          <w:tcPr>
            <w:tcW w:w="70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Trustee Protected.</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5"/>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ARTICLE X.</w:t>
            </w: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MISCELLANEOUS</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4"/>
        </w:trPr>
        <w:tc>
          <w:tcPr>
            <w:tcW w:w="84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Section 10.1.   Trust Indenture Act Controls.</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1260"/>
          </w:cols>
          <w:pgMar w:left="320" w:top="1134" w:right="3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5"/>
        </w:trPr>
        <w:tc>
          <w:tcPr>
            <w:tcW w:w="1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10.2.</w:t>
            </w:r>
          </w:p>
        </w:tc>
        <w:tc>
          <w:tcPr>
            <w:tcW w:w="69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Notices.</w:t>
            </w: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5"/>
        </w:trPr>
        <w:tc>
          <w:tcPr>
            <w:tcW w:w="84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10.3.   Communication by Holders with Other Holders.</w:t>
            </w: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5"/>
        </w:trPr>
        <w:tc>
          <w:tcPr>
            <w:tcW w:w="84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10.4.   Certificate and Opinion as to Conditions Precedent.</w:t>
            </w: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5"/>
        </w:trPr>
        <w:tc>
          <w:tcPr>
            <w:tcW w:w="84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10.5.   Statements Required in Certificate or Opinion.</w:t>
            </w: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5"/>
        </w:trPr>
        <w:tc>
          <w:tcPr>
            <w:tcW w:w="84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10.6.   Rules by Trustee and Agents.</w:t>
            </w: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5"/>
        </w:trPr>
        <w:tc>
          <w:tcPr>
            <w:tcW w:w="1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10.7.</w:t>
            </w:r>
          </w:p>
        </w:tc>
        <w:tc>
          <w:tcPr>
            <w:tcW w:w="69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Legal Holidays.</w:t>
            </w: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5"/>
        </w:trPr>
        <w:tc>
          <w:tcPr>
            <w:tcW w:w="84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10.8.   No Recourse Against Others.</w:t>
            </w: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5"/>
        </w:trPr>
        <w:tc>
          <w:tcPr>
            <w:tcW w:w="1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10.9.</w:t>
            </w:r>
          </w:p>
        </w:tc>
        <w:tc>
          <w:tcPr>
            <w:tcW w:w="69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Counterparts.</w:t>
            </w: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5"/>
        </w:trPr>
        <w:tc>
          <w:tcPr>
            <w:tcW w:w="84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10.10.   Governing Law; Waiver of Jury Trial; Consent to Jurisdiction.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5"/>
        </w:trPr>
        <w:tc>
          <w:tcPr>
            <w:tcW w:w="84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10.11.   No Adverse Interpretation of Other Agreements.</w:t>
            </w: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05"/>
        </w:trPr>
        <w:tc>
          <w:tcPr>
            <w:tcW w:w="1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10.12.</w:t>
            </w:r>
          </w:p>
        </w:tc>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Successors.</w:t>
            </w: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05"/>
        </w:trPr>
        <w:tc>
          <w:tcPr>
            <w:tcW w:w="1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10.13.</w:t>
            </w:r>
          </w:p>
        </w:tc>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Severability.</w:t>
            </w: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5"/>
        </w:trPr>
        <w:tc>
          <w:tcPr>
            <w:tcW w:w="84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10.14.   Table of Contents, Headings, Etc.</w:t>
            </w: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5"/>
        </w:trPr>
        <w:tc>
          <w:tcPr>
            <w:tcW w:w="84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10.15.   Securities in a Foreign Currency.</w:t>
            </w: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5"/>
        </w:trPr>
        <w:tc>
          <w:tcPr>
            <w:tcW w:w="1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10.16.</w:t>
            </w:r>
          </w:p>
        </w:tc>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Judgment Currency.</w:t>
            </w: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5"/>
        </w:trPr>
        <w:tc>
          <w:tcPr>
            <w:tcW w:w="1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10.17.</w:t>
            </w:r>
          </w:p>
        </w:tc>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Force Majeure.</w:t>
            </w: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5"/>
        </w:trPr>
        <w:tc>
          <w:tcPr>
            <w:tcW w:w="84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10.18.   U.S.A. Patriot Act.</w:t>
            </w: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5"/>
        </w:trPr>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XI.  SINKING FUNDS</w:t>
            </w: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5"/>
        </w:trPr>
        <w:tc>
          <w:tcPr>
            <w:tcW w:w="84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11.1.   Applicability of Article.</w:t>
            </w: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5"/>
        </w:trPr>
        <w:tc>
          <w:tcPr>
            <w:tcW w:w="84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11.2.   Satisfaction of Sinking Fund Payments with Securities.</w:t>
            </w: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4"/>
        </w:trPr>
        <w:tc>
          <w:tcPr>
            <w:tcW w:w="84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11.3.   Redemption of Securities for Sinking Fund.</w:t>
            </w:r>
          </w:p>
        </w:tc>
        <w:tc>
          <w:tcPr>
            <w:tcW w:w="2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11260"/>
          </w:cols>
          <w:pgMar w:left="320" w:top="1134" w:right="3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18"/>
        </w:trPr>
        <w:tc>
          <w:tcPr>
            <w:tcW w:w="2100" w:type="dxa"/>
            <w:vAlign w:val="bottom"/>
          </w:tcPr>
          <w:p>
            <w:pPr>
              <w:spacing w:after="0"/>
              <w:rPr>
                <w:sz w:val="18"/>
                <w:szCs w:val="18"/>
                <w:color w:val="auto"/>
              </w:rPr>
            </w:pPr>
          </w:p>
        </w:tc>
        <w:tc>
          <w:tcPr>
            <w:tcW w:w="7860" w:type="dxa"/>
            <w:vAlign w:val="bottom"/>
          </w:tcPr>
          <w:p>
            <w:pPr>
              <w:jc w:val="center"/>
              <w:ind w:right="744"/>
              <w:spacing w:after="0"/>
              <w:rPr>
                <w:sz w:val="20"/>
                <w:szCs w:val="20"/>
                <w:color w:val="auto"/>
              </w:rPr>
            </w:pPr>
            <w:r>
              <w:rPr>
                <w:rFonts w:ascii="Times New Roman" w:cs="Times New Roman" w:eastAsia="Times New Roman" w:hAnsi="Times New Roman"/>
                <w:sz w:val="16"/>
                <w:szCs w:val="16"/>
                <w:b w:val="1"/>
                <w:bCs w:val="1"/>
                <w:color w:val="auto"/>
              </w:rPr>
              <w:t>CRESCENT BIOPHARMA, INC.</w:t>
            </w:r>
          </w:p>
        </w:tc>
      </w:tr>
      <w:tr>
        <w:trPr>
          <w:trHeight w:val="422"/>
        </w:trPr>
        <w:tc>
          <w:tcPr>
            <w:tcW w:w="2100" w:type="dxa"/>
            <w:vAlign w:val="bottom"/>
          </w:tcPr>
          <w:p>
            <w:pPr>
              <w:spacing w:after="0"/>
              <w:rPr>
                <w:sz w:val="24"/>
                <w:szCs w:val="24"/>
                <w:color w:val="auto"/>
              </w:rPr>
            </w:pPr>
          </w:p>
        </w:tc>
        <w:tc>
          <w:tcPr>
            <w:tcW w:w="7860" w:type="dxa"/>
            <w:vAlign w:val="bottom"/>
          </w:tcPr>
          <w:p>
            <w:pPr>
              <w:jc w:val="center"/>
              <w:ind w:right="724"/>
              <w:spacing w:after="0"/>
              <w:rPr>
                <w:sz w:val="20"/>
                <w:szCs w:val="20"/>
                <w:color w:val="auto"/>
              </w:rPr>
            </w:pPr>
            <w:r>
              <w:rPr>
                <w:rFonts w:ascii="Times New Roman" w:cs="Times New Roman" w:eastAsia="Times New Roman" w:hAnsi="Times New Roman"/>
                <w:sz w:val="16"/>
                <w:szCs w:val="16"/>
                <w:color w:val="auto"/>
              </w:rPr>
              <w:t>Reconciliation and tie between Trust Indenture Act of 1939 and</w:t>
            </w:r>
          </w:p>
        </w:tc>
      </w:tr>
      <w:tr>
        <w:trPr>
          <w:trHeight w:val="214"/>
        </w:trPr>
        <w:tc>
          <w:tcPr>
            <w:tcW w:w="2100" w:type="dxa"/>
            <w:vAlign w:val="bottom"/>
          </w:tcPr>
          <w:p>
            <w:pPr>
              <w:spacing w:after="0"/>
              <w:rPr>
                <w:sz w:val="18"/>
                <w:szCs w:val="18"/>
                <w:color w:val="auto"/>
              </w:rPr>
            </w:pPr>
          </w:p>
        </w:tc>
        <w:tc>
          <w:tcPr>
            <w:tcW w:w="7860" w:type="dxa"/>
            <w:vAlign w:val="bottom"/>
          </w:tcPr>
          <w:p>
            <w:pPr>
              <w:jc w:val="center"/>
              <w:ind w:right="724"/>
              <w:spacing w:after="0"/>
              <w:rPr>
                <w:sz w:val="20"/>
                <w:szCs w:val="20"/>
                <w:color w:val="auto"/>
              </w:rPr>
            </w:pPr>
            <w:r>
              <w:rPr>
                <w:rFonts w:ascii="Times New Roman" w:cs="Times New Roman" w:eastAsia="Times New Roman" w:hAnsi="Times New Roman"/>
                <w:sz w:val="16"/>
                <w:szCs w:val="16"/>
                <w:color w:val="auto"/>
              </w:rPr>
              <w:t>Indenture, dated as of ____________, 20__</w:t>
            </w:r>
          </w:p>
        </w:tc>
      </w:tr>
      <w:tr>
        <w:trPr>
          <w:trHeight w:val="232"/>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 310(a)(1)</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7.10</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(a)(2)</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7.10</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(a)(3)</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w w:val="97"/>
              </w:rPr>
              <w:t>Not Applicable</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(a)(4)</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w w:val="97"/>
              </w:rPr>
              <w:t>Not Applicable</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(a)(5)</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7.10</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(b)</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7.10</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 311(a)</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7.11</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(b)</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7.11</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(c)</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w w:val="97"/>
              </w:rPr>
              <w:t>Not Applicable</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 312(a)</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2.6</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(b)</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10.3</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(c)</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7.6</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 313(a)</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7.6</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(b)(1)</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7.6</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(b)(2)</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7.6</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(c)(1)</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7.6</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(d)</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7.6</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 314(a)</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4.2, 10.5</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(b)</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w w:val="97"/>
              </w:rPr>
              <w:t>Not Applicable</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(c)(1)</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10.4</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(c)(2)</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10.4</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(c)(3)</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w w:val="97"/>
              </w:rPr>
              <w:t>Not Applicable</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(d)</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w w:val="97"/>
              </w:rPr>
              <w:t>Not Applicable</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(e)</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10.5</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(f)</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w w:val="97"/>
              </w:rPr>
              <w:t>Not Applicable</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 315(a)</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7.1</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(b)</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7.5</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(c)</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7.1</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(d)</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7.1</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(e)</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6.14</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 316(a)</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2.10</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(a)(1)(A)</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6.12</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(a)(1)(B)</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6.13</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(b)</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6.8</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 317(a)(1)</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6.3</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(a)(2)</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6.4</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(b)</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2.5</w:t>
            </w:r>
          </w:p>
        </w:tc>
      </w:tr>
      <w:tr>
        <w:trPr>
          <w:trHeight w:val="38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 318(a)</w:t>
            </w:r>
          </w:p>
        </w:tc>
        <w:tc>
          <w:tcPr>
            <w:tcW w:w="7860" w:type="dxa"/>
            <w:vAlign w:val="bottom"/>
          </w:tcPr>
          <w:p>
            <w:pPr>
              <w:ind w:left="6940"/>
              <w:spacing w:after="0"/>
              <w:rPr>
                <w:sz w:val="20"/>
                <w:szCs w:val="20"/>
                <w:color w:val="auto"/>
              </w:rPr>
            </w:pPr>
            <w:r>
              <w:rPr>
                <w:rFonts w:ascii="Times New Roman" w:cs="Times New Roman" w:eastAsia="Times New Roman" w:hAnsi="Times New Roman"/>
                <w:sz w:val="15"/>
                <w:szCs w:val="15"/>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250825</wp:posOffset>
            </wp:positionV>
            <wp:extent cx="10414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0">
                      <a:extLst>
                        <a:ext uri="{28A0092B-C50C-407E-A947-70E740481C1C}"/>
                      </a:extLst>
                    </a:blip>
                    <a:srcRect/>
                    <a:stretch>
                      <a:fillRect/>
                    </a:stretch>
                  </pic:blipFill>
                  <pic:spPr bwMode="auto">
                    <a:xfrm>
                      <a:off x="0" y="0"/>
                      <a:ext cx="104140" cy="6350"/>
                    </a:xfrm>
                    <a:prstGeom prst="rect">
                      <a:avLst/>
                    </a:prstGeom>
                    <a:noFill/>
                  </pic:spPr>
                </pic:pic>
              </a:graphicData>
            </a:graphic>
          </wp:anchor>
        </w:drawing>
      </w:r>
    </w:p>
    <w:p>
      <w:pPr>
        <w:sectPr>
          <w:pgSz w:w="11900" w:h="16838" w:orient="portrait"/>
          <w:cols w:equalWidth="0" w:num="1">
            <w:col w:w="10139"/>
          </w:cols>
          <w:pgMar w:left="320" w:top="1110" w:right="1440" w:bottom="34"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color w:val="auto"/>
        </w:rPr>
        <w:t>Note: This reconciliation and tie shall not, for any purpose, be deemed to be part of the Indenture.</w:t>
      </w:r>
    </w:p>
    <w:p>
      <w:pPr>
        <w:sectPr>
          <w:pgSz w:w="11900" w:h="16838" w:orient="portrait"/>
          <w:cols w:equalWidth="0" w:num="1">
            <w:col w:w="10159"/>
          </w:cols>
          <w:pgMar w:left="300" w:top="12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1"/>
          <w:szCs w:val="11"/>
          <w:color w:val="auto"/>
        </w:rPr>
        <w:t>iv</w:t>
      </w:r>
    </w:p>
    <w:p>
      <w:pPr>
        <w:sectPr>
          <w:pgSz w:w="11900" w:h="16838" w:orient="portrait"/>
          <w:cols w:equalWidth="0" w:num="1">
            <w:col w:w="10159"/>
          </w:cols>
          <w:pgMar w:left="300" w:top="129" w:right="1440" w:bottom="1440" w:gutter="0" w:footer="0" w:header="0"/>
          <w:type w:val="continuous"/>
        </w:sectPr>
      </w:pPr>
    </w:p>
    <w:bookmarkStart w:id="106" w:name="page107"/>
    <w:bookmarkEnd w:id="106"/>
    <w:p>
      <w:pPr>
        <w:ind w:left="980"/>
        <w:spacing w:after="0"/>
        <w:rPr>
          <w:sz w:val="20"/>
          <w:szCs w:val="20"/>
          <w:color w:val="auto"/>
        </w:rPr>
      </w:pPr>
      <w:r>
        <w:rPr>
          <w:rFonts w:ascii="Times New Roman" w:cs="Times New Roman" w:eastAsia="Times New Roman" w:hAnsi="Times New Roman"/>
          <w:sz w:val="16"/>
          <w:szCs w:val="16"/>
          <w:color w:val="auto"/>
        </w:rPr>
        <w:t>Indenture dated as of __________, 20__ between Crescent Biopharma, Inc., an exempted company registered by way of continuation under the laws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 (“</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 and [______] (“</w:t>
      </w:r>
      <w:r>
        <w:rPr>
          <w:rFonts w:ascii="Times New Roman" w:cs="Times New Roman" w:eastAsia="Times New Roman" w:hAnsi="Times New Roman"/>
          <w:sz w:val="16"/>
          <w:szCs w:val="16"/>
          <w:i w:val="1"/>
          <w:iCs w:val="1"/>
          <w:color w:val="auto"/>
        </w:rPr>
        <w:t>Trustee</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Each party agrees as follows for the benefit of the other party and for the equal and ratable benefit of the Holders of the Securities issued under this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Indenture.</w:t>
            </w:r>
          </w:p>
        </w:tc>
        <w:tc>
          <w:tcPr>
            <w:tcW w:w="780" w:type="dxa"/>
            <w:vAlign w:val="bottom"/>
          </w:tcPr>
          <w:p>
            <w:pPr>
              <w:spacing w:after="0"/>
              <w:rPr>
                <w:sz w:val="18"/>
                <w:szCs w:val="18"/>
                <w:color w:val="auto"/>
              </w:rPr>
            </w:pPr>
          </w:p>
        </w:tc>
        <w:tc>
          <w:tcPr>
            <w:tcW w:w="5880" w:type="dxa"/>
            <w:vAlign w:val="bottom"/>
          </w:tcPr>
          <w:p>
            <w:pPr>
              <w:spacing w:after="0"/>
              <w:rPr>
                <w:sz w:val="18"/>
                <w:szCs w:val="18"/>
                <w:color w:val="auto"/>
              </w:rPr>
            </w:pPr>
          </w:p>
        </w:tc>
      </w:tr>
      <w:tr>
        <w:trPr>
          <w:trHeight w:val="350"/>
        </w:trPr>
        <w:tc>
          <w:tcPr>
            <w:tcW w:w="1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ARTICLE I.  DEFINITIONS AND INCORPORATION BY REFERENCE</w:t>
            </w:r>
          </w:p>
        </w:tc>
      </w:tr>
      <w:tr>
        <w:trPr>
          <w:trHeight w:val="299"/>
        </w:trPr>
        <w:tc>
          <w:tcPr>
            <w:tcW w:w="1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 1.1.</w:t>
            </w: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Definitions.</w:t>
            </w:r>
          </w:p>
        </w:tc>
        <w:tc>
          <w:tcPr>
            <w:tcW w:w="5880" w:type="dxa"/>
            <w:vAlign w:val="bottom"/>
          </w:tcPr>
          <w:p>
            <w:pPr>
              <w:spacing w:after="0"/>
              <w:rPr>
                <w:sz w:val="24"/>
                <w:szCs w:val="24"/>
                <w:color w:val="auto"/>
              </w:rPr>
            </w:pPr>
          </w:p>
        </w:tc>
      </w:tr>
    </w:tbl>
    <w:p>
      <w:pPr>
        <w:spacing w:after="0" w:line="162" w:lineRule="exact"/>
        <w:rPr>
          <w:sz w:val="20"/>
          <w:szCs w:val="20"/>
          <w:color w:val="auto"/>
        </w:rPr>
      </w:pPr>
    </w:p>
    <w:p>
      <w:pPr>
        <w:ind w:right="120" w:firstLine="985"/>
        <w:spacing w:after="0" w:line="29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Additional Amounts</w:t>
      </w:r>
      <w:r>
        <w:rPr>
          <w:rFonts w:ascii="Times New Roman" w:cs="Times New Roman" w:eastAsia="Times New Roman" w:hAnsi="Times New Roman"/>
          <w:sz w:val="16"/>
          <w:szCs w:val="16"/>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00" w:lineRule="exact"/>
        <w:rPr>
          <w:sz w:val="20"/>
          <w:szCs w:val="20"/>
          <w:color w:val="auto"/>
        </w:rPr>
      </w:pPr>
    </w:p>
    <w:p>
      <w:pPr>
        <w:ind w:right="20" w:firstLine="985"/>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Affiliate</w:t>
      </w:r>
      <w:r>
        <w:rPr>
          <w:rFonts w:ascii="Times New Roman" w:cs="Times New Roman" w:eastAsia="Times New Roman" w:hAnsi="Times New Roman"/>
          <w:sz w:val="16"/>
          <w:szCs w:val="16"/>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Agent</w:t>
      </w:r>
      <w:r>
        <w:rPr>
          <w:rFonts w:ascii="Times New Roman" w:cs="Times New Roman" w:eastAsia="Times New Roman" w:hAnsi="Times New Roman"/>
          <w:sz w:val="16"/>
          <w:szCs w:val="16"/>
          <w:color w:val="auto"/>
        </w:rPr>
        <w:t>” means any Registrar, Paying Agent or Notice Agent.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Board of Directors</w:t>
      </w:r>
      <w:r>
        <w:rPr>
          <w:rFonts w:ascii="Times New Roman" w:cs="Times New Roman" w:eastAsia="Times New Roman" w:hAnsi="Times New Roman"/>
          <w:sz w:val="16"/>
          <w:szCs w:val="16"/>
          <w:color w:val="auto"/>
        </w:rPr>
        <w:t>” means the board of directors of the Company or any duly authorized committee thereof.</w:t>
      </w:r>
    </w:p>
    <w:p>
      <w:pPr>
        <w:spacing w:after="0" w:line="175" w:lineRule="exact"/>
        <w:rPr>
          <w:sz w:val="20"/>
          <w:szCs w:val="20"/>
          <w:color w:val="auto"/>
        </w:rPr>
      </w:pPr>
    </w:p>
    <w:p>
      <w:pPr>
        <w:ind w:firstLine="985"/>
        <w:spacing w:after="0" w:line="30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Board Resolution</w:t>
      </w:r>
      <w:r>
        <w:rPr>
          <w:rFonts w:ascii="Times New Roman" w:cs="Times New Roman" w:eastAsia="Times New Roman" w:hAnsi="Times New Roman"/>
          <w:sz w:val="16"/>
          <w:szCs w:val="16"/>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90" w:lineRule="exact"/>
        <w:rPr>
          <w:sz w:val="20"/>
          <w:szCs w:val="20"/>
          <w:color w:val="auto"/>
        </w:rPr>
      </w:pPr>
    </w:p>
    <w:p>
      <w:pPr>
        <w:ind w:right="140" w:firstLine="985"/>
        <w:spacing w:after="0" w:line="29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Business Day</w:t>
      </w:r>
      <w:r>
        <w:rPr>
          <w:rFonts w:ascii="Times New Roman" w:cs="Times New Roman" w:eastAsia="Times New Roman" w:hAnsi="Times New Roman"/>
          <w:sz w:val="16"/>
          <w:szCs w:val="16"/>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00" w:lineRule="exact"/>
        <w:rPr>
          <w:sz w:val="20"/>
          <w:szCs w:val="20"/>
          <w:color w:val="auto"/>
        </w:rPr>
      </w:pPr>
    </w:p>
    <w:p>
      <w:pPr>
        <w:ind w:right="120" w:firstLine="985"/>
        <w:spacing w:after="0" w:line="29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Capital Stock</w:t>
      </w:r>
      <w:r>
        <w:rPr>
          <w:rFonts w:ascii="Times New Roman" w:cs="Times New Roman" w:eastAsia="Times New Roman" w:hAnsi="Times New Roman"/>
          <w:sz w:val="16"/>
          <w:szCs w:val="16"/>
          <w:color w:val="auto"/>
        </w:rPr>
        <w:t>” means any and all shares, interests, participations, rights or other equivalents (however designated) of corporate stock or company shares (as applicable).</w:t>
      </w:r>
    </w:p>
    <w:p>
      <w:pPr>
        <w:spacing w:after="0" w:line="1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 means the party named as such above until a successor replaces it and thereafter means the successor.</w:t>
      </w:r>
    </w:p>
    <w:p>
      <w:pPr>
        <w:sectPr>
          <w:pgSz w:w="11900" w:h="16838" w:orient="portrait"/>
          <w:cols w:equalWidth="0" w:num="1">
            <w:col w:w="11180"/>
          </w:cols>
          <w:pgMar w:left="300" w:top="1114" w:right="419" w:bottom="1440" w:gutter="0" w:footer="0" w:header="0"/>
        </w:sectPr>
      </w:pPr>
    </w:p>
    <w:bookmarkStart w:id="107" w:name="page108"/>
    <w:bookmarkEnd w:id="107"/>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Company Order</w:t>
      </w:r>
      <w:r>
        <w:rPr>
          <w:rFonts w:ascii="Times New Roman" w:cs="Times New Roman" w:eastAsia="Times New Roman" w:hAnsi="Times New Roman"/>
          <w:sz w:val="16"/>
          <w:szCs w:val="16"/>
          <w:color w:val="auto"/>
        </w:rPr>
        <w:t>” means a written order signed in the name of the Company by an Officer and delivered to the Trustee.</w:t>
      </w:r>
    </w:p>
    <w:p>
      <w:pPr>
        <w:spacing w:after="0" w:line="175" w:lineRule="exact"/>
        <w:rPr>
          <w:sz w:val="20"/>
          <w:szCs w:val="20"/>
          <w:color w:val="auto"/>
        </w:rPr>
      </w:pPr>
    </w:p>
    <w:p>
      <w:pPr>
        <w:ind w:right="540" w:firstLine="985"/>
        <w:spacing w:after="0" w:line="29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Corporate Trust Office</w:t>
      </w:r>
      <w:r>
        <w:rPr>
          <w:rFonts w:ascii="Times New Roman" w:cs="Times New Roman" w:eastAsia="Times New Roman" w:hAnsi="Times New Roman"/>
          <w:sz w:val="16"/>
          <w:szCs w:val="16"/>
          <w:color w:val="auto"/>
        </w:rPr>
        <w:t>” means the office of the Trustee at which at any particular time its corporate trust business related to this Indenture shall be principally administered.</w:t>
      </w:r>
    </w:p>
    <w:p>
      <w:pPr>
        <w:spacing w:after="0" w:line="1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Default</w:t>
      </w:r>
      <w:r>
        <w:rPr>
          <w:rFonts w:ascii="Times New Roman" w:cs="Times New Roman" w:eastAsia="Times New Roman" w:hAnsi="Times New Roman"/>
          <w:sz w:val="16"/>
          <w:szCs w:val="16"/>
          <w:color w:val="auto"/>
        </w:rPr>
        <w:t>” means any event which is, or after notice, passage of time or both would be, an Event of Default.</w:t>
      </w:r>
    </w:p>
    <w:p>
      <w:pPr>
        <w:spacing w:after="0" w:line="175" w:lineRule="exact"/>
        <w:rPr>
          <w:sz w:val="20"/>
          <w:szCs w:val="20"/>
          <w:color w:val="auto"/>
        </w:rPr>
      </w:pPr>
    </w:p>
    <w:p>
      <w:pPr>
        <w:ind w:right="80" w:firstLine="985"/>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Depositary</w:t>
      </w:r>
      <w:r>
        <w:rPr>
          <w:rFonts w:ascii="Times New Roman" w:cs="Times New Roman" w:eastAsia="Times New Roman" w:hAnsi="Times New Roman"/>
          <w:sz w:val="16"/>
          <w:szCs w:val="16"/>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16" w:lineRule="exact"/>
        <w:rPr>
          <w:sz w:val="20"/>
          <w:szCs w:val="20"/>
          <w:color w:val="auto"/>
        </w:rPr>
      </w:pPr>
    </w:p>
    <w:p>
      <w:pPr>
        <w:ind w:firstLine="985"/>
        <w:spacing w:after="0" w:line="30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Discount Security</w:t>
      </w:r>
      <w:r>
        <w:rPr>
          <w:rFonts w:ascii="Times New Roman" w:cs="Times New Roman" w:eastAsia="Times New Roman" w:hAnsi="Times New Roman"/>
          <w:sz w:val="16"/>
          <w:szCs w:val="16"/>
          <w:color w:val="auto"/>
        </w:rPr>
        <w:t>” means any Security that provides for an amount less than the stated principal amount thereof to be due and payable upon declaration of acceleration of the maturity thereof pursuant to Section 6.2.</w:t>
      </w:r>
    </w:p>
    <w:p>
      <w:pPr>
        <w:spacing w:after="0" w:line="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Dollars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means the currency of the United States of America.</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Exchange Act</w:t>
      </w:r>
      <w:r>
        <w:rPr>
          <w:rFonts w:ascii="Times New Roman" w:cs="Times New Roman" w:eastAsia="Times New Roman" w:hAnsi="Times New Roman"/>
          <w:sz w:val="16"/>
          <w:szCs w:val="16"/>
          <w:color w:val="auto"/>
        </w:rPr>
        <w:t>” means the Securities Exchange Act of 1934, as amended.</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Foreign Currency</w:t>
      </w:r>
      <w:r>
        <w:rPr>
          <w:rFonts w:ascii="Times New Roman" w:cs="Times New Roman" w:eastAsia="Times New Roman" w:hAnsi="Times New Roman"/>
          <w:sz w:val="16"/>
          <w:szCs w:val="16"/>
          <w:color w:val="auto"/>
        </w:rPr>
        <w:t>” means any currency or currency unit issued by a government other than the government of the United States of America.</w:t>
      </w:r>
    </w:p>
    <w:p>
      <w:pPr>
        <w:spacing w:after="0" w:line="175" w:lineRule="exact"/>
        <w:rPr>
          <w:sz w:val="20"/>
          <w:szCs w:val="20"/>
          <w:color w:val="auto"/>
        </w:rPr>
      </w:pPr>
    </w:p>
    <w:p>
      <w:pPr>
        <w:jc w:val="both"/>
        <w:ind w:right="280" w:firstLine="985"/>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Foreign Government Obligations</w:t>
      </w:r>
      <w:r>
        <w:rPr>
          <w:rFonts w:ascii="Times New Roman" w:cs="Times New Roman" w:eastAsia="Times New Roman" w:hAnsi="Times New Roman"/>
          <w:sz w:val="16"/>
          <w:szCs w:val="16"/>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13" w:lineRule="exact"/>
        <w:rPr>
          <w:sz w:val="20"/>
          <w:szCs w:val="20"/>
          <w:color w:val="auto"/>
        </w:rPr>
      </w:pPr>
    </w:p>
    <w:p>
      <w:pPr>
        <w:ind w:right="100" w:firstLine="985"/>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“GAAP” </w:t>
      </w:r>
      <w:r>
        <w:rPr>
          <w:rFonts w:ascii="Times New Roman" w:cs="Times New Roman" w:eastAsia="Times New Roman" w:hAnsi="Times New Roman"/>
          <w:sz w:val="16"/>
          <w:szCs w:val="16"/>
          <w:color w:val="auto"/>
        </w:rPr>
        <w:t>means generally accepted accounting principles in the United States of America set forth in the opinions and pronouncements of the Accounting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16" w:lineRule="exact"/>
        <w:rPr>
          <w:sz w:val="20"/>
          <w:szCs w:val="20"/>
          <w:color w:val="auto"/>
        </w:rPr>
      </w:pPr>
    </w:p>
    <w:p>
      <w:pPr>
        <w:ind w:right="100" w:firstLine="985"/>
        <w:spacing w:after="0" w:line="30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Global Security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i w:val="1"/>
          <w:iCs w:val="1"/>
          <w:color w:val="auto"/>
        </w:rPr>
        <w:t>Global Securities</w:t>
      </w:r>
      <w:r>
        <w:rPr>
          <w:rFonts w:ascii="Times New Roman" w:cs="Times New Roman" w:eastAsia="Times New Roman" w:hAnsi="Times New Roman"/>
          <w:sz w:val="16"/>
          <w:szCs w:val="16"/>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20"/>
          </w:cols>
          <w:pgMar w:left="300" w:top="1112" w:right="379" w:bottom="1440" w:gutter="0" w:footer="0" w:header="0"/>
        </w:sectPr>
      </w:pPr>
    </w:p>
    <w:bookmarkStart w:id="108" w:name="page109"/>
    <w:bookmarkEnd w:id="108"/>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Holder</w:t>
      </w:r>
      <w:r>
        <w:rPr>
          <w:rFonts w:ascii="Times New Roman" w:cs="Times New Roman" w:eastAsia="Times New Roman" w:hAnsi="Times New Roman"/>
          <w:sz w:val="16"/>
          <w:szCs w:val="16"/>
          <w:color w:val="auto"/>
        </w:rPr>
        <w:t>” means a person in whose name a Security is registered on the Registrar’s books.</w:t>
      </w:r>
    </w:p>
    <w:p>
      <w:pPr>
        <w:spacing w:after="0" w:line="175" w:lineRule="exact"/>
        <w:rPr>
          <w:sz w:val="20"/>
          <w:szCs w:val="20"/>
          <w:color w:val="auto"/>
        </w:rPr>
      </w:pPr>
    </w:p>
    <w:p>
      <w:pPr>
        <w:ind w:right="380" w:firstLine="985"/>
        <w:spacing w:after="0" w:line="29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Indenture</w:t>
      </w:r>
      <w:r>
        <w:rPr>
          <w:rFonts w:ascii="Times New Roman" w:cs="Times New Roman" w:eastAsia="Times New Roman" w:hAnsi="Times New Roman"/>
          <w:sz w:val="16"/>
          <w:szCs w:val="16"/>
          <w:color w:val="auto"/>
        </w:rPr>
        <w:t>” means this Indenture as amended or supplemented from time to time and shall include the form and terms of particular Series of Securities established as contemplated hereunder.</w:t>
      </w:r>
    </w:p>
    <w:p>
      <w:pPr>
        <w:spacing w:after="0" w:line="1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interest</w:t>
      </w:r>
      <w:r>
        <w:rPr>
          <w:rFonts w:ascii="Times New Roman" w:cs="Times New Roman" w:eastAsia="Times New Roman" w:hAnsi="Times New Roman"/>
          <w:sz w:val="16"/>
          <w:szCs w:val="16"/>
          <w:color w:val="auto"/>
        </w:rPr>
        <w:t>” with respect to any Discount Security which by its terms bears interest only after Maturity, means interest payable after Maturity.</w:t>
      </w:r>
    </w:p>
    <w:p>
      <w:pPr>
        <w:spacing w:after="0" w:line="175" w:lineRule="exact"/>
        <w:rPr>
          <w:sz w:val="20"/>
          <w:szCs w:val="20"/>
          <w:color w:val="auto"/>
        </w:rPr>
      </w:pPr>
    </w:p>
    <w:p>
      <w:pPr>
        <w:ind w:right="260" w:firstLine="985"/>
        <w:spacing w:after="0" w:line="29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Maturity</w:t>
      </w:r>
      <w:r>
        <w:rPr>
          <w:rFonts w:ascii="Times New Roman" w:cs="Times New Roman" w:eastAsia="Times New Roman" w:hAnsi="Times New Roman"/>
          <w:sz w:val="16"/>
          <w:szCs w:val="16"/>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00" w:lineRule="exact"/>
        <w:rPr>
          <w:sz w:val="20"/>
          <w:szCs w:val="20"/>
          <w:color w:val="auto"/>
        </w:rPr>
      </w:pPr>
    </w:p>
    <w:p>
      <w:pPr>
        <w:ind w:right="80" w:firstLine="985"/>
        <w:spacing w:after="0" w:line="29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Officer</w:t>
      </w:r>
      <w:r>
        <w:rPr>
          <w:rFonts w:ascii="Times New Roman" w:cs="Times New Roman" w:eastAsia="Times New Roman" w:hAnsi="Times New Roman"/>
          <w:sz w:val="16"/>
          <w:szCs w:val="16"/>
          <w:color w:val="auto"/>
        </w:rPr>
        <w:t>” means the Chief Executive Officer, President, the Chief Financial Officer, the Treasurer or any Assistant Treasurer, the Secretary or any Assistant Secretary and any Vice President of the Company.</w:t>
      </w:r>
    </w:p>
    <w:p>
      <w:pPr>
        <w:spacing w:after="0" w:line="1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Officer’s Certificate</w:t>
      </w:r>
      <w:r>
        <w:rPr>
          <w:rFonts w:ascii="Times New Roman" w:cs="Times New Roman" w:eastAsia="Times New Roman" w:hAnsi="Times New Roman"/>
          <w:sz w:val="16"/>
          <w:szCs w:val="16"/>
          <w:color w:val="auto"/>
        </w:rPr>
        <w:t>” means a certificate signed by any Officer that meets the requirements of this Indenture.</w:t>
      </w:r>
    </w:p>
    <w:p>
      <w:pPr>
        <w:spacing w:after="0" w:line="175" w:lineRule="exact"/>
        <w:rPr>
          <w:sz w:val="20"/>
          <w:szCs w:val="20"/>
          <w:color w:val="auto"/>
        </w:rPr>
      </w:pPr>
    </w:p>
    <w:p>
      <w:pPr>
        <w:ind w:right="440" w:firstLine="985"/>
        <w:spacing w:after="0" w:line="29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Opinion of Counsel</w:t>
      </w:r>
      <w:r>
        <w:rPr>
          <w:rFonts w:ascii="Times New Roman" w:cs="Times New Roman" w:eastAsia="Times New Roman" w:hAnsi="Times New Roman"/>
          <w:sz w:val="16"/>
          <w:szCs w:val="16"/>
          <w:color w:val="auto"/>
        </w:rPr>
        <w:t>” means a written opinion of legal counsel who is acceptable to the Trustee. The counsel may be an employee of or counsel to the Company. The opinion may contain customary limitations, conditions and exceptions.</w:t>
      </w:r>
    </w:p>
    <w:p>
      <w:pPr>
        <w:spacing w:after="0" w:line="100" w:lineRule="exact"/>
        <w:rPr>
          <w:sz w:val="20"/>
          <w:szCs w:val="20"/>
          <w:color w:val="auto"/>
        </w:rPr>
      </w:pPr>
    </w:p>
    <w:p>
      <w:pPr>
        <w:ind w:right="320" w:firstLine="985"/>
        <w:spacing w:after="0" w:line="29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person</w:t>
      </w:r>
      <w:r>
        <w:rPr>
          <w:rFonts w:ascii="Times New Roman" w:cs="Times New Roman" w:eastAsia="Times New Roman" w:hAnsi="Times New Roman"/>
          <w:sz w:val="16"/>
          <w:szCs w:val="16"/>
          <w:color w:val="auto"/>
        </w:rPr>
        <w:t>” means any individual, corporation, partnership, joint venture, association, limited liability company, exempted company, joint-stock company, trust, unincorporated organization or government or any agency or political subdivision thereof.</w:t>
      </w:r>
    </w:p>
    <w:p>
      <w:pPr>
        <w:spacing w:after="0" w:line="1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w:t>
      </w:r>
      <w:r>
        <w:rPr>
          <w:rFonts w:ascii="Times New Roman" w:cs="Times New Roman" w:eastAsia="Times New Roman" w:hAnsi="Times New Roman"/>
          <w:sz w:val="16"/>
          <w:szCs w:val="16"/>
          <w:color w:val="auto"/>
        </w:rPr>
        <w:t>” of a Security means the principal of the Security plus, when appropriate, the premium, if any, on, and any Additional Amounts in respect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Security.</w:t>
      </w:r>
    </w:p>
    <w:p>
      <w:pPr>
        <w:spacing w:after="0" w:line="164" w:lineRule="exact"/>
        <w:rPr>
          <w:sz w:val="20"/>
          <w:szCs w:val="20"/>
          <w:color w:val="auto"/>
        </w:rPr>
      </w:pPr>
    </w:p>
    <w:p>
      <w:pPr>
        <w:ind w:firstLine="985"/>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Responsible Officer</w:t>
      </w:r>
      <w:r>
        <w:rPr>
          <w:rFonts w:ascii="Times New Roman" w:cs="Times New Roman" w:eastAsia="Times New Roman" w:hAnsi="Times New Roman"/>
          <w:sz w:val="16"/>
          <w:szCs w:val="16"/>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SEC</w:t>
      </w:r>
      <w:r>
        <w:rPr>
          <w:rFonts w:ascii="Times New Roman" w:cs="Times New Roman" w:eastAsia="Times New Roman" w:hAnsi="Times New Roman"/>
          <w:sz w:val="16"/>
          <w:szCs w:val="16"/>
          <w:color w:val="auto"/>
        </w:rPr>
        <w:t>” means the Securities and Exchange Commission.</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Security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i w:val="1"/>
          <w:iCs w:val="1"/>
          <w:color w:val="auto"/>
        </w:rPr>
        <w:t>Securities</w:t>
      </w:r>
      <w:r>
        <w:rPr>
          <w:rFonts w:ascii="Times New Roman" w:cs="Times New Roman" w:eastAsia="Times New Roman" w:hAnsi="Times New Roman"/>
          <w:sz w:val="16"/>
          <w:szCs w:val="16"/>
          <w:color w:val="auto"/>
        </w:rPr>
        <w:t>” means the debentures, notes or other debt instruments of the Company of any Series authenticated and delivered under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Indenture.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Series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i w:val="1"/>
          <w:iCs w:val="1"/>
          <w:color w:val="auto"/>
        </w:rPr>
        <w:t>Series of Securities</w:t>
      </w:r>
      <w:r>
        <w:rPr>
          <w:rFonts w:ascii="Times New Roman" w:cs="Times New Roman" w:eastAsia="Times New Roman" w:hAnsi="Times New Roman"/>
          <w:sz w:val="16"/>
          <w:szCs w:val="16"/>
          <w:color w:val="auto"/>
        </w:rPr>
        <w:t>” means each series of debentures, notes or other debt instruments of the Company created pursuant to Sections 2.1 and 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hereof.</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80"/>
          </w:cols>
          <w:pgMar w:left="300" w:top="1112" w:right="319" w:bottom="1440" w:gutter="0" w:footer="0" w:header="0"/>
        </w:sectPr>
      </w:pPr>
    </w:p>
    <w:bookmarkStart w:id="109" w:name="page110"/>
    <w:bookmarkEnd w:id="109"/>
    <w:p>
      <w:pPr>
        <w:ind w:firstLine="985"/>
        <w:spacing w:after="0" w:line="29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Stated Maturity</w:t>
      </w:r>
      <w:r>
        <w:rPr>
          <w:rFonts w:ascii="Times New Roman" w:cs="Times New Roman" w:eastAsia="Times New Roman" w:hAnsi="Times New Roman"/>
          <w:sz w:val="16"/>
          <w:szCs w:val="16"/>
          <w:color w:val="auto"/>
        </w:rPr>
        <w:t>” when used with respect to any Security, means the date specified in such Security as the fixed date on which the principal of such Security or interest is due and payable.</w:t>
      </w:r>
    </w:p>
    <w:p>
      <w:pPr>
        <w:spacing w:after="0" w:line="100" w:lineRule="exact"/>
        <w:rPr>
          <w:sz w:val="20"/>
          <w:szCs w:val="20"/>
          <w:color w:val="auto"/>
        </w:rPr>
      </w:pPr>
    </w:p>
    <w:p>
      <w:pPr>
        <w:ind w:firstLine="985"/>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Subsidiary</w:t>
      </w:r>
      <w:r>
        <w:rPr>
          <w:rFonts w:ascii="Times New Roman" w:cs="Times New Roman" w:eastAsia="Times New Roman" w:hAnsi="Times New Roman"/>
          <w:sz w:val="16"/>
          <w:szCs w:val="16"/>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13" w:lineRule="exact"/>
        <w:rPr>
          <w:sz w:val="20"/>
          <w:szCs w:val="20"/>
          <w:color w:val="auto"/>
        </w:rPr>
      </w:pPr>
    </w:p>
    <w:p>
      <w:pPr>
        <w:ind w:right="20" w:firstLine="985"/>
        <w:spacing w:after="0" w:line="29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TIA</w:t>
      </w:r>
      <w:r>
        <w:rPr>
          <w:rFonts w:ascii="Times New Roman" w:cs="Times New Roman" w:eastAsia="Times New Roman" w:hAnsi="Times New Roman"/>
          <w:sz w:val="16"/>
          <w:szCs w:val="16"/>
          <w:color w:val="auto"/>
        </w:rPr>
        <w:t xml:space="preserve">” means the Trust Indenture Act of 1939 (15 U.S. Code §§ 77aaa-77bbbb) as in effect on the date of this Indenture;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the event the Trust Indenture Act of 1939 is amended after such date, “TIA” means, to the extent required by any such amendment, the Trust Indenture Act as so amended.</w:t>
      </w:r>
    </w:p>
    <w:p>
      <w:pPr>
        <w:spacing w:after="0" w:line="100" w:lineRule="exact"/>
        <w:rPr>
          <w:sz w:val="20"/>
          <w:szCs w:val="20"/>
          <w:color w:val="auto"/>
        </w:rPr>
      </w:pPr>
    </w:p>
    <w:p>
      <w:pPr>
        <w:ind w:right="40" w:firstLine="985"/>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Trustee</w:t>
      </w:r>
      <w:r>
        <w:rPr>
          <w:rFonts w:ascii="Times New Roman" w:cs="Times New Roman" w:eastAsia="Times New Roman" w:hAnsi="Times New Roman"/>
          <w:sz w:val="16"/>
          <w:szCs w:val="16"/>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13" w:lineRule="exact"/>
        <w:rPr>
          <w:sz w:val="20"/>
          <w:szCs w:val="20"/>
          <w:color w:val="auto"/>
        </w:rPr>
      </w:pPr>
    </w:p>
    <w:p>
      <w:pPr>
        <w:ind w:right="40" w:firstLine="985"/>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U.S. Government Obligations</w:t>
      </w:r>
      <w:r>
        <w:rPr>
          <w:rFonts w:ascii="Times New Roman" w:cs="Times New Roman" w:eastAsia="Times New Roman" w:hAnsi="Times New Roman"/>
          <w:sz w:val="16"/>
          <w:szCs w:val="16"/>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06"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1.2.</w:t>
      </w:r>
      <w:r>
        <w:rPr>
          <w:sz w:val="20"/>
          <w:szCs w:val="20"/>
          <w:color w:val="auto"/>
        </w:rPr>
        <w:tab/>
      </w:r>
      <w:r>
        <w:rPr>
          <w:rFonts w:ascii="Times New Roman" w:cs="Times New Roman" w:eastAsia="Times New Roman" w:hAnsi="Times New Roman"/>
          <w:sz w:val="16"/>
          <w:szCs w:val="16"/>
          <w:u w:val="single" w:color="auto"/>
          <w:color w:val="auto"/>
        </w:rPr>
        <w:t>Other Definitions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6"/>
          <w:szCs w:val="16"/>
          <w:u w:val="single" w:color="auto"/>
          <w:color w:val="auto"/>
        </w:rPr>
        <w:t>TERM</w:t>
        <w:tab/>
        <w:t>DEFINED IN SECTION</w:t>
      </w:r>
    </w:p>
    <w:p>
      <w:pPr>
        <w:spacing w:after="0" w:line="358" w:lineRule="exact"/>
        <w:rPr>
          <w:sz w:val="20"/>
          <w:szCs w:val="20"/>
          <w:color w:val="auto"/>
        </w:rPr>
      </w:pPr>
    </w:p>
    <w:p>
      <w:pPr>
        <w:ind w:left="4800"/>
        <w:spacing w:after="0"/>
        <w:tabs>
          <w:tab w:leader="none" w:pos="6060" w:val="left"/>
        </w:tabs>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Agent Member</w:t>
      </w:r>
      <w:r>
        <w:rPr>
          <w:rFonts w:ascii="Times New Roman" w:cs="Times New Roman" w:eastAsia="Times New Roman" w:hAnsi="Times New Roman"/>
          <w:sz w:val="16"/>
          <w:szCs w:val="16"/>
          <w:color w:val="auto"/>
        </w:rPr>
        <w:t>”</w:t>
        <w:tab/>
        <w:t>2.14.6</w:t>
      </w:r>
    </w:p>
    <w:p>
      <w:pPr>
        <w:spacing w:after="0" w:line="31" w:lineRule="exact"/>
        <w:rPr>
          <w:sz w:val="20"/>
          <w:szCs w:val="20"/>
          <w:color w:val="auto"/>
        </w:rPr>
      </w:pPr>
    </w:p>
    <w:p>
      <w:pPr>
        <w:ind w:left="4840"/>
        <w:spacing w:after="0"/>
        <w:tabs>
          <w:tab w:leader="none" w:pos="6220" w:val="left"/>
        </w:tabs>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Bankruptcy Law</w:t>
      </w:r>
      <w:r>
        <w:rPr>
          <w:rFonts w:ascii="Times New Roman" w:cs="Times New Roman" w:eastAsia="Times New Roman" w:hAnsi="Times New Roman"/>
          <w:sz w:val="16"/>
          <w:szCs w:val="16"/>
          <w:color w:val="auto"/>
        </w:rPr>
        <w:t>”</w:t>
        <w:tab/>
        <w:t>6.1</w:t>
      </w:r>
    </w:p>
    <w:p>
      <w:pPr>
        <w:spacing w:after="0" w:line="12"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Custodian</w:t>
      </w:r>
      <w:r>
        <w:rPr>
          <w:rFonts w:ascii="Times New Roman" w:cs="Times New Roman" w:eastAsia="Times New Roman" w:hAnsi="Times New Roman"/>
          <w:sz w:val="16"/>
          <w:szCs w:val="16"/>
          <w:color w:val="auto"/>
        </w:rPr>
        <w:t>”</w:t>
        <w:tab/>
        <w:t>6.1</w:t>
      </w:r>
    </w:p>
    <w:p>
      <w:pPr>
        <w:spacing w:after="0" w:line="20"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Event of Default</w:t>
      </w:r>
      <w:r>
        <w:rPr>
          <w:rFonts w:ascii="Times New Roman" w:cs="Times New Roman" w:eastAsia="Times New Roman" w:hAnsi="Times New Roman"/>
          <w:sz w:val="16"/>
          <w:szCs w:val="16"/>
          <w:color w:val="auto"/>
        </w:rPr>
        <w:t>”</w:t>
        <w:tab/>
        <w:t>6.1</w:t>
      </w:r>
    </w:p>
    <w:p>
      <w:pPr>
        <w:spacing w:after="0" w:line="11" w:lineRule="exact"/>
        <w:rPr>
          <w:sz w:val="20"/>
          <w:szCs w:val="20"/>
          <w:color w:val="auto"/>
        </w:rPr>
      </w:pPr>
    </w:p>
    <w:p>
      <w:pPr>
        <w:jc w:val="center"/>
        <w:ind w:right="-19"/>
        <w:spacing w:after="0"/>
        <w:tabs>
          <w:tab w:leader="none" w:pos="140" w:val="left"/>
        </w:tabs>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Judgment Currency</w:t>
      </w:r>
      <w:r>
        <w:rPr>
          <w:rFonts w:ascii="Times New Roman" w:cs="Times New Roman" w:eastAsia="Times New Roman" w:hAnsi="Times New Roman"/>
          <w:sz w:val="16"/>
          <w:szCs w:val="16"/>
          <w:color w:val="auto"/>
        </w:rPr>
        <w:t>”</w:t>
        <w:tab/>
        <w:t>10.16</w:t>
      </w:r>
    </w:p>
    <w:p>
      <w:pPr>
        <w:spacing w:after="0" w:line="11" w:lineRule="exact"/>
        <w:rPr>
          <w:sz w:val="20"/>
          <w:szCs w:val="20"/>
          <w:color w:val="auto"/>
        </w:rPr>
      </w:pPr>
    </w:p>
    <w:p>
      <w:pPr>
        <w:jc w:val="center"/>
        <w:ind w:right="-19"/>
        <w:spacing w:after="0"/>
        <w:tabs>
          <w:tab w:leader="none" w:pos="140" w:val="left"/>
        </w:tabs>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mandatory sinking fund payment</w:t>
      </w:r>
      <w:r>
        <w:rPr>
          <w:rFonts w:ascii="Times New Roman" w:cs="Times New Roman" w:eastAsia="Times New Roman" w:hAnsi="Times New Roman"/>
          <w:sz w:val="16"/>
          <w:szCs w:val="16"/>
          <w:color w:val="auto"/>
        </w:rPr>
        <w:t>”</w:t>
        <w:tab/>
        <w:t>11.1</w:t>
      </w:r>
    </w:p>
    <w:p>
      <w:pPr>
        <w:spacing w:after="0" w:line="11"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New York Banking Day</w:t>
      </w:r>
      <w:r>
        <w:rPr>
          <w:rFonts w:ascii="Times New Roman" w:cs="Times New Roman" w:eastAsia="Times New Roman" w:hAnsi="Times New Roman"/>
          <w:sz w:val="16"/>
          <w:szCs w:val="16"/>
          <w:color w:val="auto"/>
        </w:rPr>
        <w:t>”</w:t>
        <w:tab/>
        <w:t>10.16</w:t>
      </w:r>
    </w:p>
    <w:p>
      <w:pPr>
        <w:spacing w:after="0" w:line="12"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Notice Agent</w:t>
      </w:r>
      <w:r>
        <w:rPr>
          <w:rFonts w:ascii="Times New Roman" w:cs="Times New Roman" w:eastAsia="Times New Roman" w:hAnsi="Times New Roman"/>
          <w:sz w:val="16"/>
          <w:szCs w:val="16"/>
          <w:color w:val="auto"/>
        </w:rPr>
        <w:t>”</w:t>
        <w:tab/>
        <w:t>2.4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80"/>
          </w:cols>
          <w:pgMar w:left="300" w:top="1112" w:right="319" w:bottom="1440" w:gutter="0" w:footer="0" w:header="0"/>
        </w:sectPr>
      </w:pPr>
    </w:p>
    <w:bookmarkStart w:id="110" w:name="page111"/>
    <w:bookmarkEnd w:id="110"/>
    <w:p>
      <w:pPr>
        <w:jc w:val="center"/>
        <w:ind w:right="-19"/>
        <w:spacing w:after="0"/>
        <w:tabs>
          <w:tab w:leader="none" w:pos="140" w:val="left"/>
        </w:tabs>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optional sinking fund payment</w:t>
      </w:r>
      <w:r>
        <w:rPr>
          <w:rFonts w:ascii="Times New Roman" w:cs="Times New Roman" w:eastAsia="Times New Roman" w:hAnsi="Times New Roman"/>
          <w:sz w:val="16"/>
          <w:szCs w:val="16"/>
          <w:color w:val="auto"/>
        </w:rPr>
        <w:t>”</w:t>
        <w:tab/>
        <w:t>11.1</w:t>
      </w:r>
    </w:p>
    <w:p>
      <w:pPr>
        <w:spacing w:after="0" w:line="31"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Paying Agent</w:t>
      </w:r>
      <w:r>
        <w:rPr>
          <w:rFonts w:ascii="Times New Roman" w:cs="Times New Roman" w:eastAsia="Times New Roman" w:hAnsi="Times New Roman"/>
          <w:sz w:val="16"/>
          <w:szCs w:val="16"/>
          <w:color w:val="auto"/>
        </w:rPr>
        <w:t>”</w:t>
        <w:tab/>
        <w:t>2.4</w:t>
      </w:r>
    </w:p>
    <w:p>
      <w:pPr>
        <w:spacing w:after="0" w:line="11" w:lineRule="exact"/>
        <w:rPr>
          <w:sz w:val="20"/>
          <w:szCs w:val="20"/>
          <w:color w:val="auto"/>
        </w:rPr>
      </w:pPr>
    </w:p>
    <w:p>
      <w:pPr>
        <w:jc w:val="center"/>
        <w:ind w:right="-19"/>
        <w:spacing w:after="0"/>
        <w:tabs>
          <w:tab w:leader="none" w:pos="140" w:val="left"/>
        </w:tabs>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Registrar</w:t>
      </w:r>
      <w:r>
        <w:rPr>
          <w:rFonts w:ascii="Times New Roman" w:cs="Times New Roman" w:eastAsia="Times New Roman" w:hAnsi="Times New Roman"/>
          <w:sz w:val="16"/>
          <w:szCs w:val="16"/>
          <w:color w:val="auto"/>
        </w:rPr>
        <w:t>”</w:t>
        <w:tab/>
        <w:t>2.4</w:t>
      </w:r>
    </w:p>
    <w:p>
      <w:pPr>
        <w:spacing w:after="0" w:line="12"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Required Currency</w:t>
      </w:r>
      <w:r>
        <w:rPr>
          <w:rFonts w:ascii="Times New Roman" w:cs="Times New Roman" w:eastAsia="Times New Roman" w:hAnsi="Times New Roman"/>
          <w:sz w:val="16"/>
          <w:szCs w:val="16"/>
          <w:color w:val="auto"/>
        </w:rPr>
        <w:t>”</w:t>
        <w:tab/>
        <w:t>10.16</w:t>
      </w:r>
    </w:p>
    <w:p>
      <w:pPr>
        <w:spacing w:after="0" w:line="20"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Specified Courts</w:t>
      </w:r>
      <w:r>
        <w:rPr>
          <w:rFonts w:ascii="Times New Roman" w:cs="Times New Roman" w:eastAsia="Times New Roman" w:hAnsi="Times New Roman"/>
          <w:sz w:val="16"/>
          <w:szCs w:val="16"/>
          <w:color w:val="auto"/>
        </w:rPr>
        <w:t>”</w:t>
        <w:tab/>
        <w:t>10.10</w:t>
      </w:r>
    </w:p>
    <w:p>
      <w:pPr>
        <w:spacing w:after="0" w:line="11"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successor person</w:t>
      </w:r>
      <w:r>
        <w:rPr>
          <w:rFonts w:ascii="Times New Roman" w:cs="Times New Roman" w:eastAsia="Times New Roman" w:hAnsi="Times New Roman"/>
          <w:sz w:val="16"/>
          <w:szCs w:val="16"/>
          <w:color w:val="auto"/>
        </w:rPr>
        <w:t>”</w:t>
        <w:tab/>
        <w:t>5.1</w:t>
      </w:r>
    </w:p>
    <w:p>
      <w:pPr>
        <w:spacing w:after="0" w:line="137"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1.3.</w:t>
      </w:r>
      <w:r>
        <w:rPr>
          <w:sz w:val="20"/>
          <w:szCs w:val="20"/>
          <w:color w:val="auto"/>
        </w:rPr>
        <w:tab/>
      </w:r>
      <w:r>
        <w:rPr>
          <w:rFonts w:ascii="Times New Roman" w:cs="Times New Roman" w:eastAsia="Times New Roman" w:hAnsi="Times New Roman"/>
          <w:sz w:val="16"/>
          <w:szCs w:val="16"/>
          <w:u w:val="single" w:color="auto"/>
          <w:color w:val="auto"/>
        </w:rPr>
        <w:t>Incorporation by Reference of Trust Indenture Act</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40" w:firstLine="985"/>
        <w:spacing w:after="0" w:line="293" w:lineRule="auto"/>
        <w:rPr>
          <w:sz w:val="20"/>
          <w:szCs w:val="20"/>
          <w:color w:val="auto"/>
        </w:rPr>
      </w:pPr>
      <w:r>
        <w:rPr>
          <w:rFonts w:ascii="Times New Roman" w:cs="Times New Roman" w:eastAsia="Times New Roman" w:hAnsi="Times New Roman"/>
          <w:sz w:val="16"/>
          <w:szCs w:val="16"/>
          <w:color w:val="auto"/>
        </w:rPr>
        <w:t>Whenever this Indenture refers to a provision of the TIA, the provision is incorporated by reference in and made a part of this Indenture. The following TIA terms used in this Indenture have the following meanings:</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Commission</w:t>
      </w:r>
      <w:r>
        <w:rPr>
          <w:rFonts w:ascii="Times New Roman" w:cs="Times New Roman" w:eastAsia="Times New Roman" w:hAnsi="Times New Roman"/>
          <w:sz w:val="16"/>
          <w:szCs w:val="16"/>
          <w:color w:val="auto"/>
        </w:rPr>
        <w:t>” means the SEC.</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indenture securities</w:t>
      </w:r>
      <w:r>
        <w:rPr>
          <w:rFonts w:ascii="Times New Roman" w:cs="Times New Roman" w:eastAsia="Times New Roman" w:hAnsi="Times New Roman"/>
          <w:sz w:val="16"/>
          <w:szCs w:val="16"/>
          <w:color w:val="auto"/>
        </w:rPr>
        <w:t>” means the Securities.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indenture security holder</w:t>
      </w:r>
      <w:r>
        <w:rPr>
          <w:rFonts w:ascii="Times New Roman" w:cs="Times New Roman" w:eastAsia="Times New Roman" w:hAnsi="Times New Roman"/>
          <w:sz w:val="16"/>
          <w:szCs w:val="16"/>
          <w:color w:val="auto"/>
        </w:rPr>
        <w:t>” means a Holder.</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indenture to be qualified</w:t>
      </w:r>
      <w:r>
        <w:rPr>
          <w:rFonts w:ascii="Times New Roman" w:cs="Times New Roman" w:eastAsia="Times New Roman" w:hAnsi="Times New Roman"/>
          <w:sz w:val="16"/>
          <w:szCs w:val="16"/>
          <w:color w:val="auto"/>
        </w:rPr>
        <w:t>” means this Indenture.</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indenture trustee</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i w:val="1"/>
          <w:iCs w:val="1"/>
          <w:color w:val="auto"/>
        </w:rPr>
        <w:t>institutional trustee</w:t>
      </w:r>
      <w:r>
        <w:rPr>
          <w:rFonts w:ascii="Times New Roman" w:cs="Times New Roman" w:eastAsia="Times New Roman" w:hAnsi="Times New Roman"/>
          <w:sz w:val="16"/>
          <w:szCs w:val="16"/>
          <w:color w:val="auto"/>
        </w:rPr>
        <w:t>” means the Trustee.</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obligor</w:t>
      </w:r>
      <w:r>
        <w:rPr>
          <w:rFonts w:ascii="Times New Roman" w:cs="Times New Roman" w:eastAsia="Times New Roman" w:hAnsi="Times New Roman"/>
          <w:sz w:val="16"/>
          <w:szCs w:val="16"/>
          <w:color w:val="auto"/>
        </w:rPr>
        <w:t>” on the indenture securities means the Company and any successor obligor upon the Securities.</w:t>
      </w:r>
    </w:p>
    <w:p>
      <w:pPr>
        <w:spacing w:after="0" w:line="187" w:lineRule="exact"/>
        <w:rPr>
          <w:sz w:val="20"/>
          <w:szCs w:val="20"/>
          <w:color w:val="auto"/>
        </w:rPr>
      </w:pPr>
    </w:p>
    <w:p>
      <w:pPr>
        <w:ind w:right="40" w:firstLine="985"/>
        <w:spacing w:after="0" w:line="293" w:lineRule="auto"/>
        <w:rPr>
          <w:sz w:val="20"/>
          <w:szCs w:val="20"/>
          <w:color w:val="auto"/>
        </w:rPr>
      </w:pPr>
      <w:r>
        <w:rPr>
          <w:rFonts w:ascii="Times New Roman" w:cs="Times New Roman" w:eastAsia="Times New Roman" w:hAnsi="Times New Roman"/>
          <w:sz w:val="16"/>
          <w:szCs w:val="16"/>
          <w:color w:val="auto"/>
        </w:rPr>
        <w:t>All other terms used in this Indenture that are defined by the TIA, defined by TIA reference to another statute or defined by SEC rule under the TIA and not otherwise defined herein are used herein as so defined.</w:t>
      </w:r>
    </w:p>
    <w:p>
      <w:pPr>
        <w:spacing w:after="0" w:line="8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1.4.</w:t>
      </w:r>
      <w:r>
        <w:rPr>
          <w:sz w:val="20"/>
          <w:szCs w:val="20"/>
          <w:color w:val="auto"/>
        </w:rPr>
        <w:tab/>
      </w:r>
      <w:r>
        <w:rPr>
          <w:rFonts w:ascii="Times New Roman" w:cs="Times New Roman" w:eastAsia="Times New Roman" w:hAnsi="Times New Roman"/>
          <w:sz w:val="16"/>
          <w:szCs w:val="16"/>
          <w:u w:val="single" w:color="auto"/>
          <w:color w:val="auto"/>
        </w:rPr>
        <w:t>Rules of Construction</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Unless the context otherwise requires:</w:t>
      </w:r>
    </w:p>
    <w:p>
      <w:pPr>
        <w:spacing w:after="0" w:line="155" w:lineRule="exact"/>
        <w:rPr>
          <w:sz w:val="20"/>
          <w:szCs w:val="20"/>
          <w:color w:val="auto"/>
        </w:rPr>
      </w:pPr>
    </w:p>
    <w:p>
      <w:pPr>
        <w:ind w:left="1480" w:hanging="493"/>
        <w:spacing w:after="0"/>
        <w:tabs>
          <w:tab w:leader="none" w:pos="148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term has the meaning assigned to it;</w:t>
      </w:r>
    </w:p>
    <w:p>
      <w:pPr>
        <w:spacing w:after="0" w:line="14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accounting term not otherwise defined has the meaning assigned to it in accordance with GAAP;</w:t>
      </w:r>
    </w:p>
    <w:p>
      <w:pPr>
        <w:spacing w:after="0" w:line="142"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or</w:t>
      </w:r>
      <w:r>
        <w:rPr>
          <w:rFonts w:ascii="Times New Roman" w:cs="Times New Roman" w:eastAsia="Times New Roman" w:hAnsi="Times New Roman"/>
          <w:sz w:val="16"/>
          <w:szCs w:val="16"/>
          <w:color w:val="auto"/>
        </w:rPr>
        <w:t>” is not exclusive;</w:t>
      </w:r>
    </w:p>
    <w:p>
      <w:pPr>
        <w:spacing w:after="0" w:line="146"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words in the singular include the plural, and in the plural include the singular;</w:t>
      </w:r>
    </w:p>
    <w:p>
      <w:pPr>
        <w:spacing w:after="0" w:line="14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apply to successive events and transactions;</w:t>
      </w:r>
    </w:p>
    <w:p>
      <w:pPr>
        <w:spacing w:after="0" w:line="144" w:lineRule="exact"/>
        <w:rPr>
          <w:rFonts w:ascii="Times New Roman" w:cs="Times New Roman" w:eastAsia="Times New Roman" w:hAnsi="Times New Roman"/>
          <w:sz w:val="16"/>
          <w:szCs w:val="16"/>
          <w:color w:val="auto"/>
        </w:rPr>
      </w:pPr>
    </w:p>
    <w:p>
      <w:pPr>
        <w:ind w:left="500" w:firstLine="487"/>
        <w:spacing w:after="0" w:line="253" w:lineRule="auto"/>
        <w:tabs>
          <w:tab w:leader="none" w:pos="1515"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computation of periods of time from a specified date to a later specified date, the word “from” means “from and including,” and the words “to” and “until” each mean “to but excluding”; and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80"/>
          </w:cols>
          <w:pgMar w:left="300" w:top="1112" w:right="319" w:bottom="1440" w:gutter="0" w:footer="0" w:header="0"/>
        </w:sectPr>
      </w:pPr>
    </w:p>
    <w:bookmarkStart w:id="111" w:name="page112"/>
    <w:bookmarkEnd w:id="111"/>
    <w:p>
      <w:pPr>
        <w:ind w:left="500" w:right="380" w:firstLine="492"/>
        <w:spacing w:after="0" w:line="293" w:lineRule="auto"/>
        <w:rPr>
          <w:sz w:val="20"/>
          <w:szCs w:val="20"/>
          <w:color w:val="auto"/>
        </w:rPr>
      </w:pPr>
      <w:r>
        <w:rPr>
          <w:rFonts w:ascii="Times New Roman" w:cs="Times New Roman" w:eastAsia="Times New Roman" w:hAnsi="Times New Roman"/>
          <w:sz w:val="16"/>
          <w:szCs w:val="16"/>
          <w:color w:val="auto"/>
        </w:rPr>
        <w:t>1.4.1. (g) the phrase “in writing” as used herein shall be deemed to include PDFs, e-mails and other electronic means of transmission, unless otherwise indicated.</w:t>
      </w:r>
    </w:p>
    <w:p>
      <w:pPr>
        <w:spacing w:after="0" w:line="10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ARTICLE II. THE SECURITIES</w:t>
      </w:r>
    </w:p>
    <w:p>
      <w:pPr>
        <w:spacing w:after="0" w:line="165"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2.1.</w:t>
      </w:r>
      <w:r>
        <w:rPr>
          <w:sz w:val="20"/>
          <w:szCs w:val="20"/>
          <w:color w:val="auto"/>
        </w:rPr>
        <w:tab/>
      </w:r>
      <w:r>
        <w:rPr>
          <w:rFonts w:ascii="Times New Roman" w:cs="Times New Roman" w:eastAsia="Times New Roman" w:hAnsi="Times New Roman"/>
          <w:sz w:val="16"/>
          <w:szCs w:val="16"/>
          <w:u w:val="single" w:color="auto"/>
          <w:color w:val="auto"/>
        </w:rPr>
        <w:t>Issuable in Series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20" w:firstLine="985"/>
        <w:spacing w:after="0" w:line="263" w:lineRule="auto"/>
        <w:rPr>
          <w:sz w:val="20"/>
          <w:szCs w:val="20"/>
          <w:color w:val="auto"/>
        </w:rPr>
      </w:pPr>
      <w:r>
        <w:rPr>
          <w:rFonts w:ascii="Times New Roman" w:cs="Times New Roman" w:eastAsia="Times New Roman" w:hAnsi="Times New Roman"/>
          <w:sz w:val="16"/>
          <w:szCs w:val="16"/>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308"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2.2.</w:t>
      </w:r>
      <w:r>
        <w:rPr>
          <w:sz w:val="20"/>
          <w:szCs w:val="20"/>
          <w:color w:val="auto"/>
        </w:rPr>
        <w:tab/>
      </w:r>
      <w:r>
        <w:rPr>
          <w:rFonts w:ascii="Times New Roman" w:cs="Times New Roman" w:eastAsia="Times New Roman" w:hAnsi="Times New Roman"/>
          <w:sz w:val="16"/>
          <w:szCs w:val="16"/>
          <w:u w:val="single" w:color="auto"/>
          <w:color w:val="auto"/>
        </w:rPr>
        <w:t>Establishment of Terms of Series of Securities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60" w:firstLine="985"/>
        <w:spacing w:after="0" w:line="273" w:lineRule="auto"/>
        <w:rPr>
          <w:sz w:val="20"/>
          <w:szCs w:val="20"/>
          <w:color w:val="auto"/>
        </w:rPr>
      </w:pPr>
      <w:r>
        <w:rPr>
          <w:rFonts w:ascii="Times New Roman" w:cs="Times New Roman" w:eastAsia="Times New Roman" w:hAnsi="Times New Roman"/>
          <w:sz w:val="16"/>
          <w:szCs w:val="16"/>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100" w:lineRule="exact"/>
        <w:rPr>
          <w:sz w:val="20"/>
          <w:szCs w:val="20"/>
          <w:color w:val="auto"/>
        </w:rPr>
      </w:pPr>
    </w:p>
    <w:p>
      <w:pPr>
        <w:jc w:val="both"/>
        <w:ind w:firstLine="985"/>
        <w:spacing w:after="0" w:line="253" w:lineRule="auto"/>
        <w:rPr>
          <w:sz w:val="20"/>
          <w:szCs w:val="20"/>
          <w:color w:val="auto"/>
        </w:rPr>
      </w:pPr>
      <w:r>
        <w:rPr>
          <w:rFonts w:ascii="Times New Roman" w:cs="Times New Roman" w:eastAsia="Times New Roman" w:hAnsi="Times New Roman"/>
          <w:sz w:val="16"/>
          <w:szCs w:val="16"/>
          <w:color w:val="auto"/>
        </w:rPr>
        <w:t>2.2.1. the title (which shall distinguish the Securities of that particular Series from the Securities of any other Series) and ranking (including the terms of any subordination provisions) of the Series;</w:t>
      </w:r>
    </w:p>
    <w:p>
      <w:pPr>
        <w:spacing w:after="0" w:line="104" w:lineRule="exact"/>
        <w:rPr>
          <w:sz w:val="20"/>
          <w:szCs w:val="20"/>
          <w:color w:val="auto"/>
        </w:rPr>
      </w:pPr>
    </w:p>
    <w:p>
      <w:pPr>
        <w:ind w:left="980"/>
        <w:spacing w:after="0"/>
        <w:tabs>
          <w:tab w:leader="none" w:pos="1960" w:val="left"/>
        </w:tabs>
        <w:rPr>
          <w:sz w:val="20"/>
          <w:szCs w:val="20"/>
          <w:color w:val="auto"/>
        </w:rPr>
      </w:pPr>
      <w:r>
        <w:rPr>
          <w:rFonts w:ascii="Times New Roman" w:cs="Times New Roman" w:eastAsia="Times New Roman" w:hAnsi="Times New Roman"/>
          <w:sz w:val="16"/>
          <w:szCs w:val="16"/>
          <w:color w:val="auto"/>
        </w:rPr>
        <w:t>2.2.2.</w:t>
      </w:r>
      <w:r>
        <w:rPr>
          <w:sz w:val="20"/>
          <w:szCs w:val="20"/>
          <w:color w:val="auto"/>
        </w:rPr>
        <w:tab/>
      </w:r>
      <w:r>
        <w:rPr>
          <w:rFonts w:ascii="Times New Roman" w:cs="Times New Roman" w:eastAsia="Times New Roman" w:hAnsi="Times New Roman"/>
          <w:sz w:val="16"/>
          <w:szCs w:val="16"/>
          <w:color w:val="auto"/>
        </w:rPr>
        <w:t>the price or prices (expressed as a percentage of the principal amount thereof) at which the Securities of the Series will be issued;</w:t>
      </w:r>
    </w:p>
    <w:p>
      <w:pPr>
        <w:spacing w:after="0" w:line="144" w:lineRule="exact"/>
        <w:rPr>
          <w:sz w:val="20"/>
          <w:szCs w:val="20"/>
          <w:color w:val="auto"/>
        </w:rPr>
      </w:pPr>
    </w:p>
    <w:p>
      <w:pPr>
        <w:jc w:val="both"/>
        <w:ind w:firstLine="985"/>
        <w:spacing w:after="0" w:line="235" w:lineRule="auto"/>
        <w:rPr>
          <w:sz w:val="20"/>
          <w:szCs w:val="20"/>
          <w:color w:val="auto"/>
        </w:rPr>
      </w:pPr>
      <w:r>
        <w:rPr>
          <w:rFonts w:ascii="Times New Roman" w:cs="Times New Roman" w:eastAsia="Times New Roman" w:hAnsi="Times New Roman"/>
          <w:sz w:val="16"/>
          <w:szCs w:val="16"/>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16" w:lineRule="exact"/>
        <w:rPr>
          <w:sz w:val="20"/>
          <w:szCs w:val="20"/>
          <w:color w:val="auto"/>
        </w:rPr>
      </w:pPr>
    </w:p>
    <w:p>
      <w:pPr>
        <w:ind w:left="980"/>
        <w:spacing w:after="0"/>
        <w:tabs>
          <w:tab w:leader="none" w:pos="1960" w:val="left"/>
        </w:tabs>
        <w:rPr>
          <w:sz w:val="20"/>
          <w:szCs w:val="20"/>
          <w:color w:val="auto"/>
        </w:rPr>
      </w:pPr>
      <w:r>
        <w:rPr>
          <w:rFonts w:ascii="Times New Roman" w:cs="Times New Roman" w:eastAsia="Times New Roman" w:hAnsi="Times New Roman"/>
          <w:sz w:val="16"/>
          <w:szCs w:val="16"/>
          <w:color w:val="auto"/>
        </w:rPr>
        <w:t>2.2.4.</w:t>
      </w:r>
      <w:r>
        <w:rPr>
          <w:sz w:val="20"/>
          <w:szCs w:val="20"/>
          <w:color w:val="auto"/>
        </w:rPr>
        <w:tab/>
      </w:r>
      <w:r>
        <w:rPr>
          <w:rFonts w:ascii="Times New Roman" w:cs="Times New Roman" w:eastAsia="Times New Roman" w:hAnsi="Times New Roman"/>
          <w:sz w:val="16"/>
          <w:szCs w:val="16"/>
          <w:color w:val="auto"/>
        </w:rPr>
        <w:t>the date or dates on which the principal of the Securities of the Series is payable;</w:t>
      </w:r>
    </w:p>
    <w:p>
      <w:pPr>
        <w:spacing w:after="0" w:line="144" w:lineRule="exact"/>
        <w:rPr>
          <w:sz w:val="20"/>
          <w:szCs w:val="20"/>
          <w:color w:val="auto"/>
        </w:rPr>
      </w:pPr>
    </w:p>
    <w:p>
      <w:pPr>
        <w:jc w:val="both"/>
        <w:ind w:firstLine="985"/>
        <w:spacing w:after="0" w:line="235" w:lineRule="auto"/>
        <w:rPr>
          <w:sz w:val="20"/>
          <w:szCs w:val="20"/>
          <w:color w:val="auto"/>
        </w:rPr>
      </w:pPr>
      <w:r>
        <w:rPr>
          <w:rFonts w:ascii="Times New Roman" w:cs="Times New Roman" w:eastAsia="Times New Roman" w:hAnsi="Times New Roman"/>
          <w:sz w:val="16"/>
          <w:szCs w:val="16"/>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80"/>
          </w:cols>
          <w:pgMar w:left="300" w:top="1114"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color w:val="auto"/>
        </w:rPr>
        <w:t>accrue, the date or dates on which such interest, if any, shall commence and be payable and any regular record date for the interest payable on any interest payment date;</w:t>
      </w:r>
    </w:p>
    <w:p>
      <w:pPr>
        <w:spacing w:after="0" w:line="144" w:lineRule="exact"/>
        <w:rPr>
          <w:sz w:val="20"/>
          <w:szCs w:val="20"/>
          <w:color w:val="auto"/>
        </w:rPr>
      </w:pPr>
    </w:p>
    <w:p>
      <w:pPr>
        <w:jc w:val="both"/>
        <w:ind w:firstLine="985"/>
        <w:spacing w:after="0" w:line="235" w:lineRule="auto"/>
        <w:rPr>
          <w:sz w:val="20"/>
          <w:szCs w:val="20"/>
          <w:color w:val="auto"/>
        </w:rPr>
      </w:pPr>
      <w:r>
        <w:rPr>
          <w:rFonts w:ascii="Times New Roman" w:cs="Times New Roman" w:eastAsia="Times New Roman" w:hAnsi="Times New Roman"/>
          <w:sz w:val="16"/>
          <w:szCs w:val="16"/>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16" w:lineRule="exact"/>
        <w:rPr>
          <w:sz w:val="20"/>
          <w:szCs w:val="20"/>
          <w:color w:val="auto"/>
        </w:rPr>
      </w:pPr>
    </w:p>
    <w:p>
      <w:pPr>
        <w:jc w:val="both"/>
        <w:ind w:firstLine="985"/>
        <w:spacing w:after="0" w:line="253" w:lineRule="auto"/>
        <w:rPr>
          <w:sz w:val="20"/>
          <w:szCs w:val="20"/>
          <w:color w:val="auto"/>
        </w:rPr>
      </w:pPr>
      <w:r>
        <w:rPr>
          <w:rFonts w:ascii="Times New Roman" w:cs="Times New Roman" w:eastAsia="Times New Roman" w:hAnsi="Times New Roman"/>
          <w:sz w:val="16"/>
          <w:szCs w:val="16"/>
          <w:color w:val="auto"/>
        </w:rPr>
        <w:t>2.2.7. if applicable, the period or periods within which, the price or prices at which and the terms and conditions upon which the Securities of the Series may be redeemed, in whole or in part, at the option of the Company;</w:t>
      </w:r>
    </w:p>
    <w:p>
      <w:pPr>
        <w:spacing w:after="0" w:line="104" w:lineRule="exact"/>
        <w:rPr>
          <w:sz w:val="20"/>
          <w:szCs w:val="20"/>
          <w:color w:val="auto"/>
        </w:rPr>
      </w:pPr>
    </w:p>
    <w:p>
      <w:pPr>
        <w:jc w:val="both"/>
        <w:ind w:firstLine="985"/>
        <w:spacing w:after="0" w:line="235" w:lineRule="auto"/>
        <w:rPr>
          <w:sz w:val="20"/>
          <w:szCs w:val="20"/>
          <w:color w:val="auto"/>
        </w:rPr>
      </w:pPr>
      <w:r>
        <w:rPr>
          <w:rFonts w:ascii="Times New Roman" w:cs="Times New Roman" w:eastAsia="Times New Roman" w:hAnsi="Times New Roman"/>
          <w:sz w:val="16"/>
          <w:szCs w:val="16"/>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16" w:lineRule="exact"/>
        <w:rPr>
          <w:sz w:val="20"/>
          <w:szCs w:val="20"/>
          <w:color w:val="auto"/>
        </w:rPr>
      </w:pPr>
    </w:p>
    <w:p>
      <w:pPr>
        <w:jc w:val="both"/>
        <w:ind w:firstLine="985"/>
        <w:spacing w:after="0" w:line="253" w:lineRule="auto"/>
        <w:rPr>
          <w:sz w:val="20"/>
          <w:szCs w:val="20"/>
          <w:color w:val="auto"/>
        </w:rPr>
      </w:pPr>
      <w:r>
        <w:rPr>
          <w:rFonts w:ascii="Times New Roman" w:cs="Times New Roman" w:eastAsia="Times New Roman" w:hAnsi="Times New Roman"/>
          <w:sz w:val="16"/>
          <w:szCs w:val="16"/>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03" w:lineRule="exact"/>
        <w:rPr>
          <w:sz w:val="20"/>
          <w:szCs w:val="20"/>
          <w:color w:val="auto"/>
        </w:rPr>
      </w:pPr>
    </w:p>
    <w:p>
      <w:pPr>
        <w:ind w:left="980"/>
        <w:spacing w:after="0"/>
        <w:tabs>
          <w:tab w:leader="none" w:pos="2020" w:val="left"/>
        </w:tabs>
        <w:rPr>
          <w:sz w:val="20"/>
          <w:szCs w:val="20"/>
          <w:color w:val="auto"/>
        </w:rPr>
      </w:pPr>
      <w:r>
        <w:rPr>
          <w:rFonts w:ascii="Times New Roman" w:cs="Times New Roman" w:eastAsia="Times New Roman" w:hAnsi="Times New Roman"/>
          <w:sz w:val="16"/>
          <w:szCs w:val="16"/>
          <w:color w:val="auto"/>
        </w:rPr>
        <w:t>2.2.10.</w:t>
      </w:r>
      <w:r>
        <w:rPr>
          <w:sz w:val="20"/>
          <w:szCs w:val="20"/>
          <w:color w:val="auto"/>
        </w:rPr>
        <w:tab/>
      </w:r>
      <w:r>
        <w:rPr>
          <w:rFonts w:ascii="Times New Roman" w:cs="Times New Roman" w:eastAsia="Times New Roman" w:hAnsi="Times New Roman"/>
          <w:sz w:val="16"/>
          <w:szCs w:val="16"/>
          <w:color w:val="auto"/>
        </w:rPr>
        <w:t>if other than denominations of $1,000 and any integral multiple thereof, the denominations in which the Securities of the Series shall be</w:t>
      </w:r>
    </w:p>
    <w:p>
      <w:pPr>
        <w:spacing w:after="0"/>
        <w:rPr>
          <w:sz w:val="20"/>
          <w:szCs w:val="20"/>
          <w:color w:val="auto"/>
        </w:rPr>
      </w:pPr>
      <w:r>
        <w:rPr>
          <w:rFonts w:ascii="Times New Roman" w:cs="Times New Roman" w:eastAsia="Times New Roman" w:hAnsi="Times New Roman"/>
          <w:sz w:val="16"/>
          <w:szCs w:val="16"/>
          <w:color w:val="auto"/>
        </w:rPr>
        <w:t>issuable;</w:t>
      </w:r>
    </w:p>
    <w:p>
      <w:pPr>
        <w:spacing w:after="0" w:line="126"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6"/>
          <w:szCs w:val="16"/>
          <w:color w:val="auto"/>
        </w:rPr>
        <w:t>2.2.11.</w:t>
      </w:r>
      <w:r>
        <w:rPr>
          <w:sz w:val="20"/>
          <w:szCs w:val="20"/>
          <w:color w:val="auto"/>
        </w:rPr>
        <w:tab/>
      </w:r>
      <w:r>
        <w:rPr>
          <w:rFonts w:ascii="Times New Roman" w:cs="Times New Roman" w:eastAsia="Times New Roman" w:hAnsi="Times New Roman"/>
          <w:sz w:val="16"/>
          <w:szCs w:val="16"/>
          <w:color w:val="auto"/>
        </w:rPr>
        <w:t>the forms of the Securities of the Series and whether the Securities will be issuable as Global Securities;</w:t>
      </w:r>
    </w:p>
    <w:p>
      <w:pPr>
        <w:spacing w:after="0" w:line="144" w:lineRule="exact"/>
        <w:rPr>
          <w:sz w:val="20"/>
          <w:szCs w:val="20"/>
          <w:color w:val="auto"/>
        </w:rPr>
      </w:pPr>
    </w:p>
    <w:p>
      <w:pPr>
        <w:jc w:val="both"/>
        <w:ind w:firstLine="985"/>
        <w:spacing w:after="0" w:line="253" w:lineRule="auto"/>
        <w:rPr>
          <w:sz w:val="20"/>
          <w:szCs w:val="20"/>
          <w:color w:val="auto"/>
        </w:rPr>
      </w:pPr>
      <w:r>
        <w:rPr>
          <w:rFonts w:ascii="Times New Roman" w:cs="Times New Roman" w:eastAsia="Times New Roman" w:hAnsi="Times New Roman"/>
          <w:sz w:val="16"/>
          <w:szCs w:val="16"/>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04" w:lineRule="exact"/>
        <w:rPr>
          <w:sz w:val="20"/>
          <w:szCs w:val="20"/>
          <w:color w:val="auto"/>
        </w:rPr>
      </w:pPr>
    </w:p>
    <w:p>
      <w:pPr>
        <w:jc w:val="both"/>
        <w:ind w:firstLine="985"/>
        <w:spacing w:after="0" w:line="253" w:lineRule="auto"/>
        <w:rPr>
          <w:sz w:val="20"/>
          <w:szCs w:val="20"/>
          <w:color w:val="auto"/>
        </w:rPr>
      </w:pPr>
      <w:r>
        <w:rPr>
          <w:rFonts w:ascii="Times New Roman" w:cs="Times New Roman" w:eastAsia="Times New Roman" w:hAnsi="Times New Roman"/>
          <w:sz w:val="16"/>
          <w:szCs w:val="16"/>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04" w:lineRule="exact"/>
        <w:rPr>
          <w:sz w:val="20"/>
          <w:szCs w:val="20"/>
          <w:color w:val="auto"/>
        </w:rPr>
      </w:pPr>
    </w:p>
    <w:p>
      <w:pPr>
        <w:jc w:val="both"/>
        <w:ind w:firstLine="985"/>
        <w:spacing w:after="0" w:line="253" w:lineRule="auto"/>
        <w:rPr>
          <w:sz w:val="20"/>
          <w:szCs w:val="20"/>
          <w:color w:val="auto"/>
        </w:rPr>
      </w:pPr>
      <w:r>
        <w:rPr>
          <w:rFonts w:ascii="Times New Roman" w:cs="Times New Roman" w:eastAsia="Times New Roman" w:hAnsi="Times New Roman"/>
          <w:sz w:val="16"/>
          <w:szCs w:val="16"/>
          <w:color w:val="auto"/>
        </w:rPr>
        <w:t>2.2.14. the designation of the currency, currencies or currency units in which payment of the principal of and interest, if any, on the Securities of the Series will be made;</w:t>
      </w:r>
    </w:p>
    <w:p>
      <w:pPr>
        <w:spacing w:after="0" w:line="104" w:lineRule="exact"/>
        <w:rPr>
          <w:sz w:val="20"/>
          <w:szCs w:val="20"/>
          <w:color w:val="auto"/>
        </w:rPr>
      </w:pPr>
    </w:p>
    <w:p>
      <w:pPr>
        <w:jc w:val="both"/>
        <w:ind w:firstLine="985"/>
        <w:spacing w:after="0" w:line="253" w:lineRule="auto"/>
        <w:rPr>
          <w:sz w:val="20"/>
          <w:szCs w:val="20"/>
          <w:color w:val="auto"/>
        </w:rPr>
      </w:pPr>
      <w:r>
        <w:rPr>
          <w:rFonts w:ascii="Times New Roman" w:cs="Times New Roman" w:eastAsia="Times New Roman" w:hAnsi="Times New Roman"/>
          <w:sz w:val="16"/>
          <w:szCs w:val="16"/>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04" w:lineRule="exact"/>
        <w:rPr>
          <w:sz w:val="20"/>
          <w:szCs w:val="20"/>
          <w:color w:val="auto"/>
        </w:rPr>
      </w:pPr>
    </w:p>
    <w:p>
      <w:pPr>
        <w:jc w:val="both"/>
        <w:ind w:firstLine="985"/>
        <w:spacing w:after="0"/>
        <w:rPr>
          <w:sz w:val="20"/>
          <w:szCs w:val="20"/>
          <w:color w:val="auto"/>
        </w:rPr>
      </w:pPr>
      <w:r>
        <w:rPr>
          <w:rFonts w:ascii="Times New Roman" w:cs="Times New Roman" w:eastAsia="Times New Roman" w:hAnsi="Times New Roman"/>
          <w:sz w:val="16"/>
          <w:szCs w:val="16"/>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289" w:lineRule="exact"/>
        <w:rPr>
          <w:sz w:val="20"/>
          <w:szCs w:val="20"/>
          <w:color w:val="auto"/>
        </w:rPr>
      </w:pPr>
    </w:p>
    <w:p>
      <w:pPr>
        <w:ind w:left="980"/>
        <w:spacing w:after="0"/>
        <w:tabs>
          <w:tab w:leader="none" w:pos="1960" w:val="left"/>
        </w:tabs>
        <w:rPr>
          <w:sz w:val="20"/>
          <w:szCs w:val="20"/>
          <w:color w:val="auto"/>
        </w:rPr>
      </w:pPr>
      <w:r>
        <w:rPr>
          <w:rFonts w:ascii="Times New Roman" w:cs="Times New Roman" w:eastAsia="Times New Roman" w:hAnsi="Times New Roman"/>
          <w:sz w:val="16"/>
          <w:szCs w:val="16"/>
          <w:color w:val="auto"/>
        </w:rPr>
        <w:t>2.2.17.</w:t>
      </w:r>
      <w:r>
        <w:rPr>
          <w:sz w:val="20"/>
          <w:szCs w:val="20"/>
          <w:color w:val="auto"/>
        </w:rPr>
        <w:tab/>
      </w:r>
      <w:r>
        <w:rPr>
          <w:rFonts w:ascii="Times New Roman" w:cs="Times New Roman" w:eastAsia="Times New Roman" w:hAnsi="Times New Roman"/>
          <w:sz w:val="16"/>
          <w:szCs w:val="16"/>
          <w:color w:val="auto"/>
        </w:rPr>
        <w:t>the provisions, if any, relating to any security provided for the Securities of the Series;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80"/>
          </w:cols>
          <w:pgMar w:left="300" w:top="1093" w:right="319" w:bottom="1440" w:gutter="0" w:footer="0" w:header="0"/>
        </w:sectPr>
      </w:pPr>
    </w:p>
    <w:bookmarkStart w:id="113" w:name="page114"/>
    <w:bookmarkEnd w:id="113"/>
    <w:p>
      <w:pPr>
        <w:jc w:val="both"/>
        <w:ind w:firstLine="985"/>
        <w:spacing w:after="0" w:line="253" w:lineRule="auto"/>
        <w:rPr>
          <w:sz w:val="20"/>
          <w:szCs w:val="20"/>
          <w:color w:val="auto"/>
        </w:rPr>
      </w:pPr>
      <w:r>
        <w:rPr>
          <w:rFonts w:ascii="Times New Roman" w:cs="Times New Roman" w:eastAsia="Times New Roman" w:hAnsi="Times New Roman"/>
          <w:sz w:val="16"/>
          <w:szCs w:val="16"/>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04" w:lineRule="exact"/>
        <w:rPr>
          <w:sz w:val="20"/>
          <w:szCs w:val="20"/>
          <w:color w:val="auto"/>
        </w:rPr>
      </w:pPr>
    </w:p>
    <w:p>
      <w:pPr>
        <w:ind w:left="980"/>
        <w:spacing w:after="0"/>
        <w:tabs>
          <w:tab w:leader="none" w:pos="1960" w:val="left"/>
        </w:tabs>
        <w:rPr>
          <w:sz w:val="20"/>
          <w:szCs w:val="20"/>
          <w:color w:val="auto"/>
        </w:rPr>
      </w:pPr>
      <w:r>
        <w:rPr>
          <w:rFonts w:ascii="Times New Roman" w:cs="Times New Roman" w:eastAsia="Times New Roman" w:hAnsi="Times New Roman"/>
          <w:sz w:val="16"/>
          <w:szCs w:val="16"/>
          <w:color w:val="auto"/>
        </w:rPr>
        <w:t>2.2.19.</w:t>
      </w:r>
      <w:r>
        <w:rPr>
          <w:sz w:val="20"/>
          <w:szCs w:val="20"/>
          <w:color w:val="auto"/>
        </w:rPr>
        <w:tab/>
      </w:r>
      <w:r>
        <w:rPr>
          <w:rFonts w:ascii="Times New Roman" w:cs="Times New Roman" w:eastAsia="Times New Roman" w:hAnsi="Times New Roman"/>
          <w:sz w:val="16"/>
          <w:szCs w:val="16"/>
          <w:color w:val="auto"/>
        </w:rPr>
        <w:t>any addition to, deletion of or change in the covenants applicable to Securities of the Series;</w:t>
      </w:r>
    </w:p>
    <w:p>
      <w:pPr>
        <w:spacing w:after="0" w:line="144" w:lineRule="exact"/>
        <w:rPr>
          <w:sz w:val="20"/>
          <w:szCs w:val="20"/>
          <w:color w:val="auto"/>
        </w:rPr>
      </w:pPr>
    </w:p>
    <w:p>
      <w:pPr>
        <w:jc w:val="both"/>
        <w:ind w:firstLine="985"/>
        <w:spacing w:after="0" w:line="253" w:lineRule="auto"/>
        <w:rPr>
          <w:sz w:val="20"/>
          <w:szCs w:val="20"/>
          <w:color w:val="auto"/>
        </w:rPr>
      </w:pPr>
      <w:r>
        <w:rPr>
          <w:rFonts w:ascii="Times New Roman" w:cs="Times New Roman" w:eastAsia="Times New Roman" w:hAnsi="Times New Roman"/>
          <w:sz w:val="16"/>
          <w:szCs w:val="16"/>
          <w:color w:val="auto"/>
        </w:rPr>
        <w:t>2.2.20. any Depositaries, interest rate calculation agents, exchange rate calculation agents or other agents with respect to Securities of such Series if other than those appointed herein;</w:t>
      </w:r>
    </w:p>
    <w:p>
      <w:pPr>
        <w:spacing w:after="0" w:line="104" w:lineRule="exact"/>
        <w:rPr>
          <w:sz w:val="20"/>
          <w:szCs w:val="20"/>
          <w:color w:val="auto"/>
        </w:rPr>
      </w:pPr>
    </w:p>
    <w:p>
      <w:pPr>
        <w:jc w:val="both"/>
        <w:ind w:firstLine="985"/>
        <w:spacing w:after="0"/>
        <w:rPr>
          <w:sz w:val="20"/>
          <w:szCs w:val="20"/>
          <w:color w:val="auto"/>
        </w:rPr>
      </w:pPr>
      <w:r>
        <w:rPr>
          <w:rFonts w:ascii="Times New Roman" w:cs="Times New Roman" w:eastAsia="Times New Roman" w:hAnsi="Times New Roman"/>
          <w:sz w:val="16"/>
          <w:szCs w:val="16"/>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269" w:lineRule="exact"/>
        <w:rPr>
          <w:sz w:val="20"/>
          <w:szCs w:val="20"/>
          <w:color w:val="auto"/>
        </w:rPr>
      </w:pPr>
    </w:p>
    <w:p>
      <w:pPr>
        <w:jc w:val="both"/>
        <w:ind w:firstLine="985"/>
        <w:spacing w:after="0" w:line="253" w:lineRule="auto"/>
        <w:rPr>
          <w:sz w:val="20"/>
          <w:szCs w:val="20"/>
          <w:color w:val="auto"/>
        </w:rPr>
      </w:pPr>
      <w:r>
        <w:rPr>
          <w:rFonts w:ascii="Times New Roman" w:cs="Times New Roman" w:eastAsia="Times New Roman" w:hAnsi="Times New Roman"/>
          <w:sz w:val="16"/>
          <w:szCs w:val="16"/>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04" w:lineRule="exact"/>
        <w:rPr>
          <w:sz w:val="20"/>
          <w:szCs w:val="20"/>
          <w:color w:val="auto"/>
        </w:rPr>
      </w:pPr>
    </w:p>
    <w:p>
      <w:pPr>
        <w:jc w:val="both"/>
        <w:ind w:firstLine="985"/>
        <w:spacing w:after="0" w:line="253" w:lineRule="auto"/>
        <w:rPr>
          <w:sz w:val="20"/>
          <w:szCs w:val="20"/>
          <w:color w:val="auto"/>
        </w:rPr>
      </w:pPr>
      <w:r>
        <w:rPr>
          <w:rFonts w:ascii="Times New Roman" w:cs="Times New Roman" w:eastAsia="Times New Roman" w:hAnsi="Times New Roman"/>
          <w:sz w:val="16"/>
          <w:szCs w:val="16"/>
          <w:color w:val="auto"/>
        </w:rPr>
        <w:t>2.2.23. whether any of the Company’s direct or indirect Subsidiaries will guarantee the Securities of that Series, including the terms of subordination, if any, of such guarantees.</w:t>
      </w:r>
    </w:p>
    <w:p>
      <w:pPr>
        <w:spacing w:after="0" w:line="125" w:lineRule="exact"/>
        <w:rPr>
          <w:sz w:val="20"/>
          <w:szCs w:val="20"/>
          <w:color w:val="auto"/>
        </w:rPr>
      </w:pPr>
    </w:p>
    <w:p>
      <w:pPr>
        <w:ind w:right="200" w:firstLine="985"/>
        <w:spacing w:after="0" w:line="293" w:lineRule="auto"/>
        <w:rPr>
          <w:sz w:val="20"/>
          <w:szCs w:val="20"/>
          <w:color w:val="auto"/>
        </w:rPr>
      </w:pPr>
      <w:r>
        <w:rPr>
          <w:rFonts w:ascii="Times New Roman" w:cs="Times New Roman" w:eastAsia="Times New Roman" w:hAnsi="Times New Roman"/>
          <w:sz w:val="16"/>
          <w:szCs w:val="16"/>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8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2.3.</w:t>
      </w:r>
      <w:r>
        <w:rPr>
          <w:sz w:val="20"/>
          <w:szCs w:val="20"/>
          <w:color w:val="auto"/>
        </w:rPr>
        <w:tab/>
      </w:r>
      <w:r>
        <w:rPr>
          <w:rFonts w:ascii="Times New Roman" w:cs="Times New Roman" w:eastAsia="Times New Roman" w:hAnsi="Times New Roman"/>
          <w:sz w:val="16"/>
          <w:szCs w:val="16"/>
          <w:u w:val="single" w:color="auto"/>
          <w:color w:val="auto"/>
        </w:rPr>
        <w:t>Execution and Authentication</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An Officer shall sign the Securities for the Company by manual, facsimile or electronic signature.</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If an Officer whose signature is on a Security no longer holds that office at the time the Security is authenticated, the Security shall nevertheless be valid.</w:t>
      </w:r>
    </w:p>
    <w:p>
      <w:pPr>
        <w:spacing w:after="0" w:line="175" w:lineRule="exact"/>
        <w:rPr>
          <w:sz w:val="20"/>
          <w:szCs w:val="20"/>
          <w:color w:val="auto"/>
        </w:rPr>
      </w:pPr>
    </w:p>
    <w:p>
      <w:pPr>
        <w:ind w:right="600" w:firstLine="985"/>
        <w:spacing w:after="0" w:line="293" w:lineRule="auto"/>
        <w:rPr>
          <w:sz w:val="20"/>
          <w:szCs w:val="20"/>
          <w:color w:val="auto"/>
        </w:rPr>
      </w:pPr>
      <w:r>
        <w:rPr>
          <w:rFonts w:ascii="Times New Roman" w:cs="Times New Roman" w:eastAsia="Times New Roman" w:hAnsi="Times New Roman"/>
          <w:sz w:val="16"/>
          <w:szCs w:val="16"/>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05" w:lineRule="exact"/>
        <w:rPr>
          <w:sz w:val="20"/>
          <w:szCs w:val="20"/>
          <w:color w:val="auto"/>
        </w:rPr>
      </w:pPr>
    </w:p>
    <w:p>
      <w:pPr>
        <w:ind w:right="320" w:firstLine="985"/>
        <w:spacing w:after="0" w:line="293" w:lineRule="auto"/>
        <w:rPr>
          <w:sz w:val="20"/>
          <w:szCs w:val="20"/>
          <w:color w:val="auto"/>
        </w:rPr>
      </w:pPr>
      <w:r>
        <w:rPr>
          <w:rFonts w:ascii="Times New Roman" w:cs="Times New Roman" w:eastAsia="Times New Roman" w:hAnsi="Times New Roman"/>
          <w:sz w:val="16"/>
          <w:szCs w:val="16"/>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80"/>
          </w:cols>
          <w:pgMar w:left="300" w:top="1093" w:right="319" w:bottom="1440" w:gutter="0" w:footer="0" w:header="0"/>
        </w:sectPr>
      </w:pPr>
    </w:p>
    <w:bookmarkStart w:id="114" w:name="page115"/>
    <w:bookmarkEnd w:id="114"/>
    <w:p>
      <w:pPr>
        <w:ind w:right="100" w:firstLine="985"/>
        <w:spacing w:after="0" w:line="293" w:lineRule="auto"/>
        <w:rPr>
          <w:sz w:val="20"/>
          <w:szCs w:val="20"/>
          <w:color w:val="auto"/>
        </w:rPr>
      </w:pPr>
      <w:r>
        <w:rPr>
          <w:rFonts w:ascii="Times New Roman" w:cs="Times New Roman" w:eastAsia="Times New Roman" w:hAnsi="Times New Roman"/>
          <w:sz w:val="16"/>
          <w:szCs w:val="16"/>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05" w:lineRule="exact"/>
        <w:rPr>
          <w:sz w:val="20"/>
          <w:szCs w:val="20"/>
          <w:color w:val="auto"/>
        </w:rPr>
      </w:pPr>
    </w:p>
    <w:p>
      <w:pPr>
        <w:ind w:right="160" w:firstLine="985"/>
        <w:spacing w:after="0" w:line="271" w:lineRule="auto"/>
        <w:rPr>
          <w:sz w:val="20"/>
          <w:szCs w:val="20"/>
          <w:color w:val="auto"/>
        </w:rPr>
      </w:pPr>
      <w:r>
        <w:rPr>
          <w:rFonts w:ascii="Times New Roman" w:cs="Times New Roman" w:eastAsia="Times New Roman" w:hAnsi="Times New Roman"/>
          <w:sz w:val="16"/>
          <w:szCs w:val="16"/>
          <w:color w:val="auto"/>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Sections 10.4 and 10.5, and (c) an Opinion of Counsel complying with Sections 10.4 and 10.5.</w:t>
      </w:r>
    </w:p>
    <w:p>
      <w:pPr>
        <w:spacing w:after="0" w:line="123" w:lineRule="exact"/>
        <w:rPr>
          <w:sz w:val="20"/>
          <w:szCs w:val="20"/>
          <w:color w:val="auto"/>
        </w:rPr>
      </w:pPr>
    </w:p>
    <w:p>
      <w:pPr>
        <w:ind w:right="100" w:firstLine="985"/>
        <w:spacing w:after="0" w:line="293" w:lineRule="auto"/>
        <w:rPr>
          <w:sz w:val="20"/>
          <w:szCs w:val="20"/>
          <w:color w:val="auto"/>
        </w:rPr>
      </w:pPr>
      <w:r>
        <w:rPr>
          <w:rFonts w:ascii="Times New Roman" w:cs="Times New Roman" w:eastAsia="Times New Roman" w:hAnsi="Times New Roman"/>
          <w:sz w:val="16"/>
          <w:szCs w:val="16"/>
          <w:color w:val="auto"/>
        </w:rPr>
        <w:t>The Trustee shall have the right to decline to authenticate and deliver any Securities of such Series: (a) if the Trustee, being advised by counsel, determines that such action may not be taken lawfully; or (b) if the Trustee in good faith determines that such action may expose the Trustee to personal liability.</w:t>
      </w:r>
    </w:p>
    <w:p>
      <w:pPr>
        <w:spacing w:after="0" w:line="115" w:lineRule="exact"/>
        <w:rPr>
          <w:sz w:val="20"/>
          <w:szCs w:val="20"/>
          <w:color w:val="auto"/>
        </w:rPr>
      </w:pPr>
    </w:p>
    <w:p>
      <w:pPr>
        <w:ind w:right="80" w:firstLine="985"/>
        <w:spacing w:after="0" w:line="273" w:lineRule="auto"/>
        <w:rPr>
          <w:sz w:val="20"/>
          <w:szCs w:val="20"/>
          <w:color w:val="auto"/>
        </w:rPr>
      </w:pPr>
      <w:r>
        <w:rPr>
          <w:rFonts w:ascii="Times New Roman" w:cs="Times New Roman" w:eastAsia="Times New Roman" w:hAnsi="Times New Roman"/>
          <w:sz w:val="16"/>
          <w:szCs w:val="16"/>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00"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2.4.</w:t>
      </w:r>
      <w:r>
        <w:rPr>
          <w:sz w:val="20"/>
          <w:szCs w:val="20"/>
          <w:color w:val="auto"/>
        </w:rPr>
        <w:tab/>
      </w:r>
      <w:r>
        <w:rPr>
          <w:rFonts w:ascii="Times New Roman" w:cs="Times New Roman" w:eastAsia="Times New Roman" w:hAnsi="Times New Roman"/>
          <w:sz w:val="16"/>
          <w:szCs w:val="16"/>
          <w:u w:val="single" w:color="auto"/>
          <w:color w:val="auto"/>
        </w:rPr>
        <w:t>Registrar, Paying Agent and Notice Agent</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firstLine="985"/>
        <w:spacing w:after="0" w:line="262" w:lineRule="auto"/>
        <w:rPr>
          <w:sz w:val="20"/>
          <w:szCs w:val="20"/>
          <w:color w:val="auto"/>
        </w:rPr>
      </w:pPr>
      <w:r>
        <w:rPr>
          <w:rFonts w:ascii="Times New Roman" w:cs="Times New Roman" w:eastAsia="Times New Roman" w:hAnsi="Times New Roman"/>
          <w:sz w:val="16"/>
          <w:szCs w:val="16"/>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cs="Times New Roman" w:eastAsia="Times New Roman" w:hAnsi="Times New Roman"/>
          <w:sz w:val="16"/>
          <w:szCs w:val="16"/>
          <w:i w:val="1"/>
          <w:iCs w:val="1"/>
          <w:color w:val="auto"/>
        </w:rPr>
        <w:t>Paying Agent</w:t>
      </w:r>
      <w:r>
        <w:rPr>
          <w:rFonts w:ascii="Times New Roman" w:cs="Times New Roman" w:eastAsia="Times New Roman" w:hAnsi="Times New Roman"/>
          <w:sz w:val="16"/>
          <w:szCs w:val="16"/>
          <w:color w:val="auto"/>
        </w:rPr>
        <w:t>”), where Securities of such Series may be surrendered for registration of transfer or exchange (“</w:t>
      </w:r>
      <w:r>
        <w:rPr>
          <w:rFonts w:ascii="Times New Roman" w:cs="Times New Roman" w:eastAsia="Times New Roman" w:hAnsi="Times New Roman"/>
          <w:sz w:val="16"/>
          <w:szCs w:val="16"/>
          <w:i w:val="1"/>
          <w:iCs w:val="1"/>
          <w:color w:val="auto"/>
        </w:rPr>
        <w:t>Registrar</w:t>
      </w:r>
      <w:r>
        <w:rPr>
          <w:rFonts w:ascii="Times New Roman" w:cs="Times New Roman" w:eastAsia="Times New Roman" w:hAnsi="Times New Roman"/>
          <w:sz w:val="16"/>
          <w:szCs w:val="16"/>
          <w:color w:val="auto"/>
        </w:rPr>
        <w:t>”) and where notices and demands to or upon the Company in respect of the Securities of such Series and this Indenture may be delivered (“</w:t>
      </w:r>
      <w:r>
        <w:rPr>
          <w:rFonts w:ascii="Times New Roman" w:cs="Times New Roman" w:eastAsia="Times New Roman" w:hAnsi="Times New Roman"/>
          <w:sz w:val="16"/>
          <w:szCs w:val="16"/>
          <w:i w:val="1"/>
          <w:iCs w:val="1"/>
          <w:color w:val="auto"/>
        </w:rPr>
        <w:t>Notice Agent</w:t>
      </w:r>
      <w:r>
        <w:rPr>
          <w:rFonts w:ascii="Times New Roman" w:cs="Times New Roman" w:eastAsia="Times New Roman" w:hAnsi="Times New Roman"/>
          <w:sz w:val="16"/>
          <w:szCs w:val="16"/>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appointment of the Trustee as the Notice Agent shall exclude the appointment of the Trustee or any office of the Trustee as an agent to receive the service of legal process on the Company.</w:t>
      </w:r>
    </w:p>
    <w:p>
      <w:pPr>
        <w:spacing w:after="0" w:line="131" w:lineRule="exact"/>
        <w:rPr>
          <w:sz w:val="20"/>
          <w:szCs w:val="20"/>
          <w:color w:val="auto"/>
        </w:rPr>
      </w:pPr>
    </w:p>
    <w:p>
      <w:pPr>
        <w:ind w:right="260" w:firstLine="985"/>
        <w:spacing w:after="0" w:line="273" w:lineRule="auto"/>
        <w:rPr>
          <w:sz w:val="20"/>
          <w:szCs w:val="20"/>
          <w:color w:val="auto"/>
        </w:rPr>
      </w:pPr>
      <w:r>
        <w:rPr>
          <w:rFonts w:ascii="Times New Roman" w:cs="Times New Roman" w:eastAsia="Times New Roman" w:hAnsi="Times New Roman"/>
          <w:sz w:val="16"/>
          <w:szCs w:val="16"/>
          <w:color w:val="auto"/>
        </w:rPr>
        <w:t xml:space="preserve">The Company may also from time to time designate one or more co-registrars, additional paying agents or additional notice agents and may from time to time rescind such designations;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 such designation or rescission shall in any manner relieve the Company of its obligations to maintain a Registrar, Paying Agent and Notice Agent in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80"/>
          </w:cols>
          <w:pgMar w:left="300" w:top="1114" w:right="319" w:bottom="1440" w:gutter="0" w:footer="0" w:header="0"/>
        </w:sectPr>
      </w:pPr>
    </w:p>
    <w:bookmarkStart w:id="115" w:name="page116"/>
    <w:bookmarkEnd w:id="115"/>
    <w:p>
      <w:pPr>
        <w:ind w:right="140"/>
        <w:spacing w:after="0" w:line="271" w:lineRule="auto"/>
        <w:rPr>
          <w:sz w:val="20"/>
          <w:szCs w:val="20"/>
          <w:color w:val="auto"/>
        </w:rPr>
      </w:pPr>
      <w:r>
        <w:rPr>
          <w:rFonts w:ascii="Times New Roman" w:cs="Times New Roman" w:eastAsia="Times New Roman" w:hAnsi="Times New Roman"/>
          <w:sz w:val="16"/>
          <w:szCs w:val="16"/>
          <w:color w:val="auto"/>
        </w:rPr>
        <w:t>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cs="Times New Roman" w:eastAsia="Times New Roman" w:hAnsi="Times New Roman"/>
          <w:sz w:val="16"/>
          <w:szCs w:val="16"/>
          <w:i w:val="1"/>
          <w:iCs w:val="1"/>
          <w:color w:val="auto"/>
        </w:rPr>
        <w:t>Registrar</w:t>
      </w:r>
      <w:r>
        <w:rPr>
          <w:rFonts w:ascii="Times New Roman" w:cs="Times New Roman" w:eastAsia="Times New Roman" w:hAnsi="Times New Roman"/>
          <w:sz w:val="16"/>
          <w:szCs w:val="16"/>
          <w:color w:val="auto"/>
        </w:rPr>
        <w:t>” includes any co-registrar; the term “</w:t>
      </w:r>
      <w:r>
        <w:rPr>
          <w:rFonts w:ascii="Times New Roman" w:cs="Times New Roman" w:eastAsia="Times New Roman" w:hAnsi="Times New Roman"/>
          <w:sz w:val="16"/>
          <w:szCs w:val="16"/>
          <w:i w:val="1"/>
          <w:iCs w:val="1"/>
          <w:color w:val="auto"/>
        </w:rPr>
        <w:t>Paying Agent</w:t>
      </w:r>
      <w:r>
        <w:rPr>
          <w:rFonts w:ascii="Times New Roman" w:cs="Times New Roman" w:eastAsia="Times New Roman" w:hAnsi="Times New Roman"/>
          <w:sz w:val="16"/>
          <w:szCs w:val="16"/>
          <w:color w:val="auto"/>
        </w:rPr>
        <w:t>” includes any additional paying agent; and the term “</w:t>
      </w:r>
      <w:r>
        <w:rPr>
          <w:rFonts w:ascii="Times New Roman" w:cs="Times New Roman" w:eastAsia="Times New Roman" w:hAnsi="Times New Roman"/>
          <w:sz w:val="16"/>
          <w:szCs w:val="16"/>
          <w:i w:val="1"/>
          <w:iCs w:val="1"/>
          <w:color w:val="auto"/>
        </w:rPr>
        <w:t>Notice Agent</w:t>
      </w:r>
      <w:r>
        <w:rPr>
          <w:rFonts w:ascii="Times New Roman" w:cs="Times New Roman" w:eastAsia="Times New Roman" w:hAnsi="Times New Roman"/>
          <w:sz w:val="16"/>
          <w:szCs w:val="16"/>
          <w:color w:val="auto"/>
        </w:rPr>
        <w:t>” includes any additional notice agent. The Company or any of its Affiliates may serve as Registrar or Paying Agent.</w:t>
      </w:r>
    </w:p>
    <w:p>
      <w:pPr>
        <w:spacing w:after="0" w:line="123" w:lineRule="exact"/>
        <w:rPr>
          <w:sz w:val="20"/>
          <w:szCs w:val="20"/>
          <w:color w:val="auto"/>
        </w:rPr>
      </w:pPr>
    </w:p>
    <w:p>
      <w:pPr>
        <w:jc w:val="both"/>
        <w:ind w:firstLine="492"/>
        <w:spacing w:after="0" w:line="270" w:lineRule="auto"/>
        <w:rPr>
          <w:sz w:val="20"/>
          <w:szCs w:val="20"/>
          <w:color w:val="auto"/>
        </w:rPr>
      </w:pPr>
      <w:r>
        <w:rPr>
          <w:rFonts w:ascii="Times New Roman" w:cs="Times New Roman" w:eastAsia="Times New Roman" w:hAnsi="Times New Roman"/>
          <w:sz w:val="16"/>
          <w:szCs w:val="16"/>
          <w:color w:val="auto"/>
        </w:rPr>
        <w:t>The Company hereby appoints the Trustee the initial Registrar, Paying Agent and Notice Agent for each Series unless another Registrar, Paying Agent or Notice Agent, as the case may be, is appointed prior to the time Securities of that Series are first issued. The rights, powers, duties, obligations and actions of each Agent under this Indenture are several and not joint or joint and several, and the Agents shall only be obliged to perform those duties expressly set out in this Indenture and shall have no implied duties.</w:t>
      </w:r>
    </w:p>
    <w:p>
      <w:pPr>
        <w:spacing w:after="0" w:line="313"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2.5.</w:t>
      </w:r>
      <w:r>
        <w:rPr>
          <w:sz w:val="20"/>
          <w:szCs w:val="20"/>
          <w:color w:val="auto"/>
        </w:rPr>
        <w:tab/>
      </w:r>
      <w:r>
        <w:rPr>
          <w:rFonts w:ascii="Times New Roman" w:cs="Times New Roman" w:eastAsia="Times New Roman" w:hAnsi="Times New Roman"/>
          <w:sz w:val="16"/>
          <w:szCs w:val="16"/>
          <w:u w:val="single" w:color="auto"/>
          <w:color w:val="auto"/>
        </w:rPr>
        <w:t>Paying Agent to Hold Money in Trust</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firstLine="985"/>
        <w:spacing w:after="0" w:line="260" w:lineRule="auto"/>
        <w:rPr>
          <w:sz w:val="20"/>
          <w:szCs w:val="20"/>
          <w:color w:val="auto"/>
        </w:rPr>
      </w:pPr>
      <w:r>
        <w:rPr>
          <w:rFonts w:ascii="Times New Roman" w:cs="Times New Roman" w:eastAsia="Times New Roman" w:hAnsi="Times New Roman"/>
          <w:sz w:val="16"/>
          <w:szCs w:val="16"/>
          <w:color w:val="auto"/>
        </w:rPr>
        <w:t>The Company shall require each Paying Agent other than the Trustee to agree in writing that the Paying Agent will hold in trust, for the benefit of 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 Upon any bankruptcy, reorganization or similar proceeding with respect to the Company, the Trustee shall serve as Paying Agent for the Securities. For the avoidance of doubt, a Paying Agent and the Trustee shall be held harmless and have no liability with respect to payments or disbursements (including to the Holders) until they have confirmed receipt of funds sufficient to make the relevant payment. No money held by an Agent needs to be segregated except as is required by law.</w:t>
      </w:r>
    </w:p>
    <w:p>
      <w:pPr>
        <w:spacing w:after="0" w:line="11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2.6.</w:t>
      </w:r>
      <w:r>
        <w:rPr>
          <w:sz w:val="20"/>
          <w:szCs w:val="20"/>
          <w:color w:val="auto"/>
        </w:rPr>
        <w:tab/>
      </w:r>
      <w:r>
        <w:rPr>
          <w:rFonts w:ascii="Times New Roman" w:cs="Times New Roman" w:eastAsia="Times New Roman" w:hAnsi="Times New Roman"/>
          <w:sz w:val="16"/>
          <w:szCs w:val="16"/>
          <w:u w:val="single" w:color="auto"/>
          <w:color w:val="auto"/>
        </w:rPr>
        <w:t>Holder Lists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firstLine="985"/>
        <w:spacing w:after="0" w:line="271" w:lineRule="auto"/>
        <w:rPr>
          <w:sz w:val="20"/>
          <w:szCs w:val="20"/>
          <w:color w:val="auto"/>
        </w:rPr>
      </w:pPr>
      <w:r>
        <w:rPr>
          <w:rFonts w:ascii="Times New Roman" w:cs="Times New Roman" w:eastAsia="Times New Roman" w:hAnsi="Times New Roman"/>
          <w:sz w:val="16"/>
          <w:szCs w:val="16"/>
          <w:color w:val="auto"/>
        </w:rPr>
        <w:t>If it is serving as Registrar, the Trustee shall preserve in as current a form as is reasonably practicable the most recent list available to it of the names and addresses of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Holders of each Series of Securities.</w:t>
      </w:r>
    </w:p>
    <w:p>
      <w:pPr>
        <w:spacing w:after="0" w:line="123" w:lineRule="exact"/>
        <w:rPr>
          <w:sz w:val="20"/>
          <w:szCs w:val="20"/>
          <w:color w:val="auto"/>
        </w:rPr>
      </w:pPr>
    </w:p>
    <w:p>
      <w:pPr>
        <w:ind w:firstLine="985"/>
        <w:spacing w:after="0" w:line="293" w:lineRule="auto"/>
        <w:rPr>
          <w:sz w:val="20"/>
          <w:szCs w:val="20"/>
          <w:color w:val="auto"/>
        </w:rPr>
      </w:pPr>
      <w:r>
        <w:rPr>
          <w:rFonts w:ascii="Times New Roman" w:cs="Times New Roman" w:eastAsia="Times New Roman" w:hAnsi="Times New Roman"/>
          <w:sz w:val="16"/>
          <w:szCs w:val="16"/>
          <w:color w:val="auto"/>
        </w:rPr>
        <w:t>Every Holder, by receiving and holding Securities, agrees with the Company and the Trustee that neither the Company nor the Trustee or any agent of either of them shall be held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80"/>
          </w:cols>
          <w:pgMar w:left="300" w:top="1114" w:right="319" w:bottom="1440" w:gutter="0" w:footer="0" w:header="0"/>
        </w:sectPr>
      </w:pPr>
    </w:p>
    <w:bookmarkStart w:id="116" w:name="page117"/>
    <w:bookmarkEnd w:id="116"/>
    <w:p>
      <w:pPr>
        <w:spacing w:after="0" w:line="293" w:lineRule="auto"/>
        <w:rPr>
          <w:sz w:val="20"/>
          <w:szCs w:val="20"/>
          <w:color w:val="auto"/>
        </w:rPr>
      </w:pPr>
      <w:r>
        <w:rPr>
          <w:rFonts w:ascii="Times New Roman" w:cs="Times New Roman" w:eastAsia="Times New Roman" w:hAnsi="Times New Roman"/>
          <w:sz w:val="16"/>
          <w:szCs w:val="16"/>
          <w:color w:val="auto"/>
        </w:rPr>
        <w:t>accountable by reason of the disclosure of any such information as to the names and addresses of the Holders in accordance with TIA § 312, regardless of the source from which such information was derived, and that the Trustee shall not be held accountable by reason of mailing any material pursuant to a request made under TIA § 312(b).</w:t>
      </w:r>
    </w:p>
    <w:p>
      <w:pPr>
        <w:spacing w:after="0" w:line="8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2.7.</w:t>
      </w:r>
      <w:r>
        <w:rPr>
          <w:sz w:val="20"/>
          <w:szCs w:val="20"/>
          <w:color w:val="auto"/>
        </w:rPr>
        <w:tab/>
      </w:r>
      <w:r>
        <w:rPr>
          <w:rFonts w:ascii="Times New Roman" w:cs="Times New Roman" w:eastAsia="Times New Roman" w:hAnsi="Times New Roman"/>
          <w:sz w:val="16"/>
          <w:szCs w:val="16"/>
          <w:u w:val="single" w:color="auto"/>
          <w:color w:val="auto"/>
        </w:rPr>
        <w:t>Transfer and Exchange</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100" w:firstLine="985"/>
        <w:spacing w:after="0" w:line="267" w:lineRule="auto"/>
        <w:rPr>
          <w:sz w:val="20"/>
          <w:szCs w:val="20"/>
          <w:color w:val="auto"/>
        </w:rPr>
      </w:pPr>
      <w:r>
        <w:rPr>
          <w:rFonts w:ascii="Times New Roman" w:cs="Times New Roman" w:eastAsia="Times New Roman" w:hAnsi="Times New Roman"/>
          <w:sz w:val="16"/>
          <w:szCs w:val="16"/>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25" w:lineRule="exact"/>
        <w:rPr>
          <w:sz w:val="20"/>
          <w:szCs w:val="20"/>
          <w:color w:val="auto"/>
        </w:rPr>
      </w:pPr>
    </w:p>
    <w:p>
      <w:pPr>
        <w:ind w:right="60" w:firstLine="985"/>
        <w:spacing w:after="0" w:line="267" w:lineRule="auto"/>
        <w:rPr>
          <w:sz w:val="20"/>
          <w:szCs w:val="20"/>
          <w:color w:val="auto"/>
        </w:rPr>
      </w:pPr>
      <w:r>
        <w:rPr>
          <w:rFonts w:ascii="Times New Roman" w:cs="Times New Roman" w:eastAsia="Times New Roman" w:hAnsi="Times New Roman"/>
          <w:sz w:val="16"/>
          <w:szCs w:val="16"/>
          <w:color w:val="auto"/>
        </w:rPr>
        <w:t>Neither the Company nor the Registrar shall be required (a) to issue, register the transfer of or exchange Securities of any Series for the period beginning at the opening of business 15 days immediately preceding the sending of a notice of redemption of Securities of that Series selected for redemption and ending at the close of business on the day such notice is sent, (b) to register the transfer of or exchange Securities of any Series selected, called or being called for redemption as a whole or the portion being redeemed of any such Securities selected, called or being called for redemption in part or (c) to register the transfer of or exchange Securities of any Series between a record date and payment date for such Series of Securities.</w:t>
      </w:r>
    </w:p>
    <w:p>
      <w:pPr>
        <w:spacing w:after="0" w:line="105"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2.8.</w:t>
      </w:r>
      <w:r>
        <w:rPr>
          <w:sz w:val="20"/>
          <w:szCs w:val="20"/>
          <w:color w:val="auto"/>
        </w:rPr>
        <w:tab/>
      </w:r>
      <w:r>
        <w:rPr>
          <w:rFonts w:ascii="Times New Roman" w:cs="Times New Roman" w:eastAsia="Times New Roman" w:hAnsi="Times New Roman"/>
          <w:sz w:val="16"/>
          <w:szCs w:val="16"/>
          <w:u w:val="single" w:color="auto"/>
          <w:color w:val="auto"/>
        </w:rPr>
        <w:t>Mutilated, Destroyed, Lost and Stolen Securities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80" w:firstLine="985"/>
        <w:spacing w:after="0" w:line="293" w:lineRule="auto"/>
        <w:rPr>
          <w:sz w:val="20"/>
          <w:szCs w:val="20"/>
          <w:color w:val="auto"/>
        </w:rPr>
      </w:pPr>
      <w:r>
        <w:rPr>
          <w:rFonts w:ascii="Times New Roman" w:cs="Times New Roman" w:eastAsia="Times New Roman" w:hAnsi="Times New Roman"/>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15" w:lineRule="exact"/>
        <w:rPr>
          <w:sz w:val="20"/>
          <w:szCs w:val="20"/>
          <w:color w:val="auto"/>
        </w:rPr>
      </w:pPr>
    </w:p>
    <w:p>
      <w:pPr>
        <w:ind w:right="80" w:firstLine="985"/>
        <w:spacing w:after="0" w:line="264" w:lineRule="auto"/>
        <w:rPr>
          <w:sz w:val="20"/>
          <w:szCs w:val="20"/>
          <w:color w:val="auto"/>
        </w:rPr>
      </w:pPr>
      <w:r>
        <w:rPr>
          <w:rFonts w:ascii="Times New Roman" w:cs="Times New Roman" w:eastAsia="Times New Roman" w:hAnsi="Times New Roman"/>
          <w:sz w:val="16"/>
          <w:szCs w:val="16"/>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37" w:lineRule="exact"/>
        <w:rPr>
          <w:sz w:val="20"/>
          <w:szCs w:val="20"/>
          <w:color w:val="auto"/>
        </w:rPr>
      </w:pPr>
    </w:p>
    <w:p>
      <w:pPr>
        <w:ind w:right="60" w:firstLine="985"/>
        <w:spacing w:after="0" w:line="293" w:lineRule="auto"/>
        <w:rPr>
          <w:sz w:val="20"/>
          <w:szCs w:val="20"/>
          <w:color w:val="auto"/>
        </w:rPr>
      </w:pPr>
      <w:r>
        <w:rPr>
          <w:rFonts w:ascii="Times New Roman" w:cs="Times New Roman" w:eastAsia="Times New Roman" w:hAnsi="Times New Roman"/>
          <w:sz w:val="16"/>
          <w:szCs w:val="16"/>
          <w:color w:val="auto"/>
        </w:rPr>
        <w:t>In case any such mutilated, destroyed, lost or stolen Security has become or is about to become due and payable, the Company in its discretion may, instead of issuing a new Security, pay such Security.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80"/>
          </w:cols>
          <w:pgMar w:left="300" w:top="1114" w:right="319" w:bottom="1440" w:gutter="0" w:footer="0" w:header="0"/>
        </w:sectPr>
      </w:pPr>
    </w:p>
    <w:bookmarkStart w:id="117" w:name="page118"/>
    <w:bookmarkEnd w:id="117"/>
    <w:p>
      <w:pPr>
        <w:ind w:firstLine="985"/>
        <w:spacing w:after="0" w:line="293" w:lineRule="auto"/>
        <w:rPr>
          <w:sz w:val="20"/>
          <w:szCs w:val="20"/>
          <w:color w:val="auto"/>
        </w:rPr>
      </w:pPr>
      <w:r>
        <w:rPr>
          <w:rFonts w:ascii="Times New Roman" w:cs="Times New Roman" w:eastAsia="Times New Roman" w:hAnsi="Times New Roman"/>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05" w:lineRule="exact"/>
        <w:rPr>
          <w:sz w:val="20"/>
          <w:szCs w:val="20"/>
          <w:color w:val="auto"/>
        </w:rPr>
      </w:pPr>
    </w:p>
    <w:p>
      <w:pPr>
        <w:jc w:val="both"/>
        <w:ind w:right="420" w:firstLine="985"/>
        <w:spacing w:after="0" w:line="280" w:lineRule="auto"/>
        <w:rPr>
          <w:sz w:val="20"/>
          <w:szCs w:val="20"/>
          <w:color w:val="auto"/>
        </w:rPr>
      </w:pPr>
      <w:r>
        <w:rPr>
          <w:rFonts w:ascii="Times New Roman" w:cs="Times New Roman" w:eastAsia="Times New Roman" w:hAnsi="Times New Roman"/>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15" w:lineRule="exact"/>
        <w:rPr>
          <w:sz w:val="20"/>
          <w:szCs w:val="20"/>
          <w:color w:val="auto"/>
        </w:rPr>
      </w:pPr>
    </w:p>
    <w:p>
      <w:pPr>
        <w:ind w:right="580" w:firstLine="985"/>
        <w:spacing w:after="0" w:line="293" w:lineRule="auto"/>
        <w:rPr>
          <w:sz w:val="20"/>
          <w:szCs w:val="20"/>
          <w:color w:val="auto"/>
        </w:rPr>
      </w:pPr>
      <w:r>
        <w:rPr>
          <w:rFonts w:ascii="Times New Roman" w:cs="Times New Roman" w:eastAsia="Times New Roman" w:hAnsi="Times New Roman"/>
          <w:sz w:val="16"/>
          <w:szCs w:val="16"/>
          <w:color w:val="auto"/>
        </w:rPr>
        <w:t>The provisions of this Section are exclusive and shall preclude (to the extent lawful) all other rights and remedies with respect to the replacement or payment of mutilated, destroyed, lost or stolen Securities.</w:t>
      </w:r>
    </w:p>
    <w:p>
      <w:pPr>
        <w:spacing w:after="0" w:line="8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2.9.</w:t>
      </w:r>
      <w:r>
        <w:rPr>
          <w:sz w:val="20"/>
          <w:szCs w:val="20"/>
          <w:color w:val="auto"/>
        </w:rPr>
        <w:tab/>
      </w:r>
      <w:r>
        <w:rPr>
          <w:rFonts w:ascii="Times New Roman" w:cs="Times New Roman" w:eastAsia="Times New Roman" w:hAnsi="Times New Roman"/>
          <w:sz w:val="16"/>
          <w:szCs w:val="16"/>
          <w:u w:val="single" w:color="auto"/>
          <w:color w:val="auto"/>
        </w:rPr>
        <w:t>Outstanding Securities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20" w:firstLine="985"/>
        <w:spacing w:after="0" w:line="294" w:lineRule="auto"/>
        <w:rPr>
          <w:sz w:val="20"/>
          <w:szCs w:val="20"/>
          <w:color w:val="auto"/>
        </w:rPr>
      </w:pPr>
      <w:r>
        <w:rPr>
          <w:rFonts w:ascii="Times New Roman" w:cs="Times New Roman" w:eastAsia="Times New Roman" w:hAnsi="Times New Roman"/>
          <w:sz w:val="16"/>
          <w:szCs w:val="16"/>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308" w:lineRule="exact"/>
        <w:rPr>
          <w:sz w:val="20"/>
          <w:szCs w:val="20"/>
          <w:color w:val="auto"/>
        </w:rPr>
      </w:pPr>
    </w:p>
    <w:p>
      <w:pPr>
        <w:ind w:firstLine="985"/>
        <w:spacing w:after="0" w:line="293" w:lineRule="auto"/>
        <w:rPr>
          <w:sz w:val="20"/>
          <w:szCs w:val="20"/>
          <w:color w:val="auto"/>
        </w:rPr>
      </w:pPr>
      <w:r>
        <w:rPr>
          <w:rFonts w:ascii="Times New Roman" w:cs="Times New Roman" w:eastAsia="Times New Roman" w:hAnsi="Times New Roman"/>
          <w:sz w:val="16"/>
          <w:szCs w:val="16"/>
          <w:color w:val="auto"/>
        </w:rPr>
        <w:t>If a Security is replaced pursuant to Section 2.8, it ceases to be outstanding until the Trustee receives proof satisfactory to it that the replaced Security is held by a bona fide purchaser.</w:t>
      </w:r>
    </w:p>
    <w:p>
      <w:pPr>
        <w:spacing w:after="0" w:line="105" w:lineRule="exact"/>
        <w:rPr>
          <w:sz w:val="20"/>
          <w:szCs w:val="20"/>
          <w:color w:val="auto"/>
        </w:rPr>
      </w:pPr>
    </w:p>
    <w:p>
      <w:pPr>
        <w:jc w:val="both"/>
        <w:ind w:right="80" w:firstLine="985"/>
        <w:spacing w:after="0" w:line="280" w:lineRule="auto"/>
        <w:rPr>
          <w:sz w:val="20"/>
          <w:szCs w:val="20"/>
          <w:color w:val="auto"/>
        </w:rPr>
      </w:pPr>
      <w:r>
        <w:rPr>
          <w:rFonts w:ascii="Times New Roman" w:cs="Times New Roman" w:eastAsia="Times New Roman" w:hAnsi="Times New Roman"/>
          <w:sz w:val="16"/>
          <w:szCs w:val="16"/>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15" w:lineRule="exact"/>
        <w:rPr>
          <w:sz w:val="20"/>
          <w:szCs w:val="20"/>
          <w:color w:val="auto"/>
        </w:rPr>
      </w:pPr>
    </w:p>
    <w:p>
      <w:pPr>
        <w:ind w:right="160" w:firstLine="985"/>
        <w:spacing w:after="0" w:line="293" w:lineRule="auto"/>
        <w:rPr>
          <w:sz w:val="20"/>
          <w:szCs w:val="20"/>
          <w:color w:val="auto"/>
        </w:rPr>
      </w:pPr>
      <w:r>
        <w:rPr>
          <w:rFonts w:ascii="Times New Roman" w:cs="Times New Roman" w:eastAsia="Times New Roman" w:hAnsi="Times New Roman"/>
          <w:sz w:val="16"/>
          <w:szCs w:val="16"/>
          <w:color w:val="auto"/>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spacing w:after="0" w:line="105" w:lineRule="exact"/>
        <w:rPr>
          <w:sz w:val="20"/>
          <w:szCs w:val="20"/>
          <w:color w:val="auto"/>
        </w:rPr>
      </w:pPr>
    </w:p>
    <w:p>
      <w:pPr>
        <w:ind w:right="280" w:firstLine="985"/>
        <w:spacing w:after="0" w:line="280" w:lineRule="auto"/>
        <w:rPr>
          <w:sz w:val="20"/>
          <w:szCs w:val="20"/>
          <w:color w:val="auto"/>
        </w:rPr>
      </w:pPr>
      <w:r>
        <w:rPr>
          <w:rFonts w:ascii="Times New Roman" w:cs="Times New Roman" w:eastAsia="Times New Roman" w:hAnsi="Times New Roman"/>
          <w:sz w:val="16"/>
          <w:szCs w:val="16"/>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95"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2.10.</w:t>
      </w:r>
      <w:r>
        <w:rPr>
          <w:sz w:val="20"/>
          <w:szCs w:val="20"/>
          <w:color w:val="auto"/>
        </w:rPr>
        <w:tab/>
      </w:r>
      <w:r>
        <w:rPr>
          <w:rFonts w:ascii="Times New Roman" w:cs="Times New Roman" w:eastAsia="Times New Roman" w:hAnsi="Times New Roman"/>
          <w:sz w:val="16"/>
          <w:szCs w:val="16"/>
          <w:u w:val="single" w:color="auto"/>
          <w:color w:val="auto"/>
        </w:rPr>
        <w:t>Treasury Securities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580" w:firstLine="985"/>
        <w:spacing w:after="0" w:line="293" w:lineRule="auto"/>
        <w:rPr>
          <w:sz w:val="20"/>
          <w:szCs w:val="20"/>
          <w:color w:val="auto"/>
        </w:rPr>
      </w:pPr>
      <w:r>
        <w:rPr>
          <w:rFonts w:ascii="Times New Roman" w:cs="Times New Roman" w:eastAsia="Times New Roman" w:hAnsi="Times New Roman"/>
          <w:sz w:val="16"/>
          <w:szCs w:val="16"/>
          <w:color w:val="auto"/>
        </w:rPr>
        <w:t>In determining whether the Holders of the required principal amount of Securities of a Series have concurred in any request, demand, authorization, direction, notice, consent 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80"/>
          </w:cols>
          <w:pgMar w:left="300" w:top="1114" w:right="319" w:bottom="1440" w:gutter="0" w:footer="0" w:header="0"/>
        </w:sectPr>
      </w:pPr>
    </w:p>
    <w:bookmarkStart w:id="118" w:name="page119"/>
    <w:bookmarkEnd w:id="118"/>
    <w:p>
      <w:pPr>
        <w:ind w:right="20"/>
        <w:spacing w:after="0" w:line="273" w:lineRule="auto"/>
        <w:rPr>
          <w:sz w:val="20"/>
          <w:szCs w:val="20"/>
          <w:color w:val="auto"/>
        </w:rPr>
      </w:pPr>
      <w:r>
        <w:rPr>
          <w:rFonts w:ascii="Times New Roman" w:cs="Times New Roman" w:eastAsia="Times New Roman" w:hAnsi="Times New Roman"/>
          <w:sz w:val="16"/>
          <w:szCs w:val="16"/>
          <w:color w:val="auto"/>
        </w:rPr>
        <w:t>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11" w:lineRule="exact"/>
        <w:rPr>
          <w:sz w:val="20"/>
          <w:szCs w:val="20"/>
          <w:color w:val="auto"/>
        </w:rPr>
      </w:pPr>
    </w:p>
    <w:p>
      <w:pPr>
        <w:ind w:left="740"/>
        <w:spacing w:after="0"/>
        <w:tabs>
          <w:tab w:leader="none" w:pos="1940" w:val="left"/>
        </w:tabs>
        <w:rPr>
          <w:sz w:val="20"/>
          <w:szCs w:val="20"/>
          <w:color w:val="auto"/>
        </w:rPr>
      </w:pPr>
      <w:r>
        <w:rPr>
          <w:rFonts w:ascii="Times New Roman" w:cs="Times New Roman" w:eastAsia="Times New Roman" w:hAnsi="Times New Roman"/>
          <w:sz w:val="16"/>
          <w:szCs w:val="16"/>
          <w:color w:val="auto"/>
        </w:rPr>
        <w:t>Section 2.11.</w:t>
      </w:r>
      <w:r>
        <w:rPr>
          <w:sz w:val="20"/>
          <w:szCs w:val="20"/>
          <w:color w:val="auto"/>
        </w:rPr>
        <w:tab/>
      </w:r>
      <w:r>
        <w:rPr>
          <w:rFonts w:ascii="Times New Roman" w:cs="Times New Roman" w:eastAsia="Times New Roman" w:hAnsi="Times New Roman"/>
          <w:sz w:val="16"/>
          <w:szCs w:val="16"/>
          <w:u w:val="single" w:color="auto"/>
          <w:color w:val="auto"/>
        </w:rPr>
        <w:t>Temporary Securities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80" w:firstLine="985"/>
        <w:spacing w:after="0" w:line="267" w:lineRule="auto"/>
        <w:rPr>
          <w:sz w:val="20"/>
          <w:szCs w:val="20"/>
          <w:color w:val="auto"/>
        </w:rPr>
      </w:pPr>
      <w:r>
        <w:rPr>
          <w:rFonts w:ascii="Times New Roman" w:cs="Times New Roman" w:eastAsia="Times New Roman" w:hAnsi="Times New Roman"/>
          <w:sz w:val="16"/>
          <w:szCs w:val="16"/>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0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2.12.</w:t>
      </w:r>
      <w:r>
        <w:rPr>
          <w:sz w:val="20"/>
          <w:szCs w:val="20"/>
          <w:color w:val="auto"/>
        </w:rPr>
        <w:tab/>
      </w:r>
      <w:r>
        <w:rPr>
          <w:rFonts w:ascii="Times New Roman" w:cs="Times New Roman" w:eastAsia="Times New Roman" w:hAnsi="Times New Roman"/>
          <w:sz w:val="16"/>
          <w:szCs w:val="16"/>
          <w:u w:val="single" w:color="auto"/>
          <w:color w:val="auto"/>
        </w:rPr>
        <w:t>Cancellation</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180" w:firstLine="985"/>
        <w:spacing w:after="0" w:line="267" w:lineRule="auto"/>
        <w:rPr>
          <w:sz w:val="20"/>
          <w:szCs w:val="20"/>
          <w:color w:val="auto"/>
        </w:rPr>
      </w:pPr>
      <w:r>
        <w:rPr>
          <w:rFonts w:ascii="Times New Roman" w:cs="Times New Roman" w:eastAsia="Times New Roman" w:hAnsi="Times New Roman"/>
          <w:sz w:val="16"/>
          <w:szCs w:val="16"/>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requirements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05"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2.13.</w:t>
      </w:r>
      <w:r>
        <w:rPr>
          <w:sz w:val="20"/>
          <w:szCs w:val="20"/>
          <w:color w:val="auto"/>
        </w:rPr>
        <w:tab/>
      </w:r>
      <w:r>
        <w:rPr>
          <w:rFonts w:ascii="Times New Roman" w:cs="Times New Roman" w:eastAsia="Times New Roman" w:hAnsi="Times New Roman"/>
          <w:sz w:val="16"/>
          <w:szCs w:val="16"/>
          <w:u w:val="single" w:color="auto"/>
          <w:color w:val="auto"/>
        </w:rPr>
        <w:t>Defaulted Interest</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40" w:firstLine="985"/>
        <w:spacing w:after="0" w:line="271" w:lineRule="auto"/>
        <w:rPr>
          <w:sz w:val="20"/>
          <w:szCs w:val="20"/>
          <w:color w:val="auto"/>
        </w:rPr>
      </w:pPr>
      <w:r>
        <w:rPr>
          <w:rFonts w:ascii="Times New Roman" w:cs="Times New Roman" w:eastAsia="Times New Roman" w:hAnsi="Times New Roman"/>
          <w:sz w:val="16"/>
          <w:szCs w:val="16"/>
          <w:color w:val="auto"/>
        </w:rPr>
        <w:t>If the Company defaults in a payment of interest on a Series of Securities, it shall pay the defaulted interest, plus, to the extent permitted by law, any interest payable on the defaulted interest, to the persons who are Holders of the Series on a subsequent special record date. The Company shall fix the record date and payment date. At least ten days before the special record date, the Company shall send to the Trustee and to each Holder of the Series a notice that states the special record date, the payment date and the amount of interest to be paid. The Company may pay defaulted interest in any other lawful manner.</w:t>
      </w:r>
    </w:p>
    <w:p>
      <w:pPr>
        <w:spacing w:after="0" w:line="102"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2.14.</w:t>
      </w:r>
      <w:r>
        <w:rPr>
          <w:sz w:val="20"/>
          <w:szCs w:val="20"/>
          <w:color w:val="auto"/>
        </w:rPr>
        <w:tab/>
      </w:r>
      <w:r>
        <w:rPr>
          <w:rFonts w:ascii="Times New Roman" w:cs="Times New Roman" w:eastAsia="Times New Roman" w:hAnsi="Times New Roman"/>
          <w:sz w:val="16"/>
          <w:szCs w:val="16"/>
          <w:u w:val="single" w:color="auto"/>
          <w:color w:val="auto"/>
        </w:rPr>
        <w:t>Global Securities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firstLine="985"/>
        <w:spacing w:after="0" w:line="253" w:lineRule="auto"/>
        <w:rPr>
          <w:sz w:val="20"/>
          <w:szCs w:val="20"/>
          <w:color w:val="auto"/>
        </w:rPr>
      </w:pPr>
      <w:r>
        <w:rPr>
          <w:rFonts w:ascii="Times New Roman" w:cs="Times New Roman" w:eastAsia="Times New Roman" w:hAnsi="Times New Roman"/>
          <w:sz w:val="16"/>
          <w:szCs w:val="16"/>
          <w:color w:val="auto"/>
        </w:rPr>
        <w:t xml:space="preserve">2.14.1. </w:t>
      </w:r>
      <w:r>
        <w:rPr>
          <w:rFonts w:ascii="Times New Roman" w:cs="Times New Roman" w:eastAsia="Times New Roman" w:hAnsi="Times New Roman"/>
          <w:sz w:val="16"/>
          <w:szCs w:val="16"/>
          <w:u w:val="single" w:color="auto"/>
          <w:color w:val="auto"/>
        </w:rPr>
        <w:t>Terms of Securities</w:t>
      </w:r>
      <w:r>
        <w:rPr>
          <w:rFonts w:ascii="Times New Roman" w:cs="Times New Roman" w:eastAsia="Times New Roman" w:hAnsi="Times New Roman"/>
          <w:sz w:val="16"/>
          <w:szCs w:val="16"/>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04" w:lineRule="exact"/>
        <w:rPr>
          <w:sz w:val="20"/>
          <w:szCs w:val="20"/>
          <w:color w:val="auto"/>
        </w:rPr>
      </w:pPr>
    </w:p>
    <w:p>
      <w:pPr>
        <w:ind w:firstLine="985"/>
        <w:spacing w:after="0" w:line="253" w:lineRule="auto"/>
        <w:rPr>
          <w:sz w:val="20"/>
          <w:szCs w:val="20"/>
          <w:color w:val="auto"/>
        </w:rPr>
      </w:pPr>
      <w:r>
        <w:rPr>
          <w:rFonts w:ascii="Times New Roman" w:cs="Times New Roman" w:eastAsia="Times New Roman" w:hAnsi="Times New Roman"/>
          <w:sz w:val="16"/>
          <w:szCs w:val="16"/>
          <w:color w:val="auto"/>
        </w:rPr>
        <w:t xml:space="preserve">2.14.2. </w:t>
      </w:r>
      <w:r>
        <w:rPr>
          <w:rFonts w:ascii="Times New Roman" w:cs="Times New Roman" w:eastAsia="Times New Roman" w:hAnsi="Times New Roman"/>
          <w:sz w:val="16"/>
          <w:szCs w:val="16"/>
          <w:u w:val="single" w:color="auto"/>
          <w:color w:val="auto"/>
        </w:rPr>
        <w:t>Transfer and Exchange</w:t>
      </w:r>
      <w:r>
        <w:rPr>
          <w:rFonts w:ascii="Times New Roman" w:cs="Times New Roman" w:eastAsia="Times New Roman" w:hAnsi="Times New Roman"/>
          <w:sz w:val="16"/>
          <w:szCs w:val="16"/>
          <w:color w:val="auto"/>
        </w:rPr>
        <w:t>. Notwithstanding any provisions to the contrary contained in Section 2.7 of the Indenture and in addition thereto, any Global Security shall be exchangeable pursuant to Section 2.7 of the Indenture for Securities registered in the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80"/>
          </w:cols>
          <w:pgMar w:left="300" w:top="1114" w:right="319" w:bottom="1440" w:gutter="0" w:footer="0" w:header="0"/>
        </w:sectPr>
      </w:pPr>
    </w:p>
    <w:bookmarkStart w:id="119" w:name="page120"/>
    <w:bookmarkEnd w:id="119"/>
    <w:p>
      <w:pPr>
        <w:jc w:val="both"/>
        <w:spacing w:after="0" w:line="224" w:lineRule="auto"/>
        <w:rPr>
          <w:sz w:val="20"/>
          <w:szCs w:val="20"/>
          <w:color w:val="auto"/>
        </w:rPr>
      </w:pPr>
      <w:r>
        <w:rPr>
          <w:rFonts w:ascii="Times New Roman" w:cs="Times New Roman" w:eastAsia="Times New Roman" w:hAnsi="Times New Roman"/>
          <w:sz w:val="16"/>
          <w:szCs w:val="16"/>
          <w:color w:val="auto"/>
        </w:rPr>
        <w:t>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39" w:lineRule="exact"/>
        <w:rPr>
          <w:sz w:val="20"/>
          <w:szCs w:val="20"/>
          <w:color w:val="auto"/>
        </w:rPr>
      </w:pPr>
    </w:p>
    <w:p>
      <w:pPr>
        <w:jc w:val="both"/>
        <w:ind w:right="20" w:firstLine="985"/>
        <w:spacing w:after="0" w:line="273" w:lineRule="auto"/>
        <w:rPr>
          <w:sz w:val="20"/>
          <w:szCs w:val="20"/>
          <w:color w:val="auto"/>
        </w:rPr>
      </w:pPr>
      <w:r>
        <w:rPr>
          <w:rFonts w:ascii="Times New Roman" w:cs="Times New Roman" w:eastAsia="Times New Roman" w:hAnsi="Times New Roman"/>
          <w:sz w:val="16"/>
          <w:szCs w:val="16"/>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31" w:lineRule="exact"/>
        <w:rPr>
          <w:sz w:val="20"/>
          <w:szCs w:val="20"/>
          <w:color w:val="auto"/>
        </w:rPr>
      </w:pPr>
    </w:p>
    <w:p>
      <w:pPr>
        <w:jc w:val="both"/>
        <w:ind w:firstLine="985"/>
        <w:spacing w:after="0" w:line="264" w:lineRule="auto"/>
        <w:rPr>
          <w:sz w:val="20"/>
          <w:szCs w:val="20"/>
          <w:color w:val="auto"/>
        </w:rPr>
      </w:pPr>
      <w:r>
        <w:rPr>
          <w:rFonts w:ascii="Times New Roman" w:cs="Times New Roman" w:eastAsia="Times New Roman" w:hAnsi="Times New Roman"/>
          <w:sz w:val="16"/>
          <w:szCs w:val="16"/>
          <w:color w:val="auto"/>
        </w:rPr>
        <w:t>None of the Trustee or any Agent shall have any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57" w:lineRule="exact"/>
        <w:rPr>
          <w:sz w:val="20"/>
          <w:szCs w:val="20"/>
          <w:color w:val="auto"/>
        </w:rPr>
      </w:pPr>
    </w:p>
    <w:p>
      <w:pPr>
        <w:jc w:val="both"/>
        <w:ind w:firstLine="985"/>
        <w:spacing w:after="0" w:line="267" w:lineRule="auto"/>
        <w:rPr>
          <w:sz w:val="20"/>
          <w:szCs w:val="20"/>
          <w:color w:val="auto"/>
        </w:rPr>
      </w:pPr>
      <w:r>
        <w:rPr>
          <w:rFonts w:ascii="Times New Roman" w:cs="Times New Roman" w:eastAsia="Times New Roman" w:hAnsi="Times New Roman"/>
          <w:sz w:val="16"/>
          <w:szCs w:val="16"/>
          <w:color w:val="auto"/>
        </w:rPr>
        <w:t>None of the Trustee or any Agent shall have any responsibility or obligation to any beneficial owner of a Global Security, a member of, or a participant in the Depositary or other Person with respect to the accuracy of the records of the Depositary or its nominee or of any participant or member thereof, with respect to any ownership interest in any Security or with respect to the delivery to any participant, member, beneficial owner or other Person (other than the Depositary) of any notice (including any notice of optional redemption) or the payment of any amount, under or with respect to such Security.</w:t>
      </w:r>
    </w:p>
    <w:p>
      <w:pPr>
        <w:spacing w:after="0" w:line="125" w:lineRule="exact"/>
        <w:rPr>
          <w:sz w:val="20"/>
          <w:szCs w:val="20"/>
          <w:color w:val="auto"/>
        </w:rPr>
      </w:pPr>
    </w:p>
    <w:p>
      <w:pPr>
        <w:ind w:left="980"/>
        <w:spacing w:after="0"/>
        <w:tabs>
          <w:tab w:leader="none" w:pos="1960" w:val="left"/>
        </w:tabs>
        <w:rPr>
          <w:sz w:val="20"/>
          <w:szCs w:val="20"/>
          <w:color w:val="auto"/>
        </w:rPr>
      </w:pPr>
      <w:r>
        <w:rPr>
          <w:rFonts w:ascii="Times New Roman" w:cs="Times New Roman" w:eastAsia="Times New Roman" w:hAnsi="Times New Roman"/>
          <w:sz w:val="16"/>
          <w:szCs w:val="16"/>
          <w:color w:val="auto"/>
        </w:rPr>
        <w:t>2.14.3.</w:t>
      </w:r>
      <w:r>
        <w:rPr>
          <w:sz w:val="20"/>
          <w:szCs w:val="20"/>
          <w:color w:val="auto"/>
        </w:rPr>
        <w:tab/>
      </w:r>
      <w:r>
        <w:rPr>
          <w:rFonts w:ascii="Times New Roman" w:cs="Times New Roman" w:eastAsia="Times New Roman" w:hAnsi="Times New Roman"/>
          <w:sz w:val="16"/>
          <w:szCs w:val="16"/>
          <w:u w:val="single" w:color="auto"/>
          <w:color w:val="auto"/>
        </w:rPr>
        <w:t>Legends</w:t>
      </w:r>
      <w:r>
        <w:rPr>
          <w:rFonts w:ascii="Times New Roman" w:cs="Times New Roman" w:eastAsia="Times New Roman" w:hAnsi="Times New Roman"/>
          <w:sz w:val="16"/>
          <w:szCs w:val="16"/>
          <w:color w:val="auto"/>
        </w:rPr>
        <w:t>. Any Global Security issued hereunder shall bear a legend in substantially the following form:</w:t>
      </w:r>
    </w:p>
    <w:p>
      <w:pPr>
        <w:spacing w:after="0" w:line="165" w:lineRule="exact"/>
        <w:rPr>
          <w:sz w:val="20"/>
          <w:szCs w:val="20"/>
          <w:color w:val="auto"/>
        </w:rPr>
      </w:pPr>
    </w:p>
    <w:p>
      <w:pPr>
        <w:ind w:right="120" w:firstLine="985"/>
        <w:spacing w:after="0" w:line="267" w:lineRule="auto"/>
        <w:rPr>
          <w:sz w:val="20"/>
          <w:szCs w:val="20"/>
          <w:color w:val="auto"/>
        </w:rPr>
      </w:pPr>
      <w:r>
        <w:rPr>
          <w:rFonts w:ascii="Times New Roman" w:cs="Times New Roman" w:eastAsia="Times New Roman" w:hAnsi="Times New Roman"/>
          <w:sz w:val="16"/>
          <w:szCs w:val="16"/>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80"/>
          </w:cols>
          <w:pgMar w:left="300" w:top="1093"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color w:val="auto"/>
        </w:rPr>
        <w:t>NOMINEE TO A SUCCESSOR DEPOSITARY OR A NOMINEE OF SUCH A SUCCESSOR DEPOSITARY.”</w:t>
      </w:r>
    </w:p>
    <w:p>
      <w:pPr>
        <w:spacing w:after="0" w:line="175" w:lineRule="exact"/>
        <w:rPr>
          <w:sz w:val="20"/>
          <w:szCs w:val="20"/>
          <w:color w:val="auto"/>
        </w:rPr>
      </w:pPr>
    </w:p>
    <w:p>
      <w:pPr>
        <w:ind w:right="160" w:firstLine="985"/>
        <w:spacing w:after="0" w:line="293" w:lineRule="auto"/>
        <w:rPr>
          <w:sz w:val="20"/>
          <w:szCs w:val="20"/>
          <w:color w:val="auto"/>
        </w:rPr>
      </w:pPr>
      <w:r>
        <w:rPr>
          <w:rFonts w:ascii="Times New Roman" w:cs="Times New Roman" w:eastAsia="Times New Roman" w:hAnsi="Times New Roman"/>
          <w:sz w:val="16"/>
          <w:szCs w:val="16"/>
          <w:color w:val="auto"/>
        </w:rPr>
        <w:t>In addition, so long as the Depository Trust Company (“DTC”) is the Depositary, each Global Security registered in the name of DTC or its nominee shall bear a legend in substantially the following form:</w:t>
      </w:r>
    </w:p>
    <w:p>
      <w:pPr>
        <w:spacing w:after="0" w:line="115" w:lineRule="exact"/>
        <w:rPr>
          <w:sz w:val="20"/>
          <w:szCs w:val="20"/>
          <w:color w:val="auto"/>
        </w:rPr>
      </w:pPr>
    </w:p>
    <w:p>
      <w:pPr>
        <w:ind w:right="100" w:firstLine="985"/>
        <w:spacing w:after="0" w:line="264" w:lineRule="auto"/>
        <w:rPr>
          <w:sz w:val="20"/>
          <w:szCs w:val="20"/>
          <w:color w:val="auto"/>
        </w:rPr>
      </w:pPr>
      <w:r>
        <w:rPr>
          <w:rFonts w:ascii="Times New Roman" w:cs="Times New Roman" w:eastAsia="Times New Roman" w:hAnsi="Times New Roman"/>
          <w:sz w:val="16"/>
          <w:szCs w:val="16"/>
          <w:color w:val="auto"/>
        </w:rPr>
        <w:t>“UNLESS THIS GLOBAL SECURITY IS PRESENTED BY AN AUTHORIZED REPRESENTATIVE OF THE DEPOSITORY TRUST COMPANY, A NEW YORK CORPORATION (“DTC”), TO THE COMPANY OR ITS AGENT FOR REGISTRATION OF TRANSFER, EXCHANGE OR PAYMENT, AND ANY GLOBAL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09" w:lineRule="exact"/>
        <w:rPr>
          <w:sz w:val="20"/>
          <w:szCs w:val="20"/>
          <w:color w:val="auto"/>
        </w:rPr>
      </w:pPr>
    </w:p>
    <w:p>
      <w:pPr>
        <w:jc w:val="both"/>
        <w:ind w:firstLine="985"/>
        <w:spacing w:after="0" w:line="253" w:lineRule="auto"/>
        <w:rPr>
          <w:sz w:val="20"/>
          <w:szCs w:val="20"/>
          <w:color w:val="auto"/>
        </w:rPr>
      </w:pPr>
      <w:r>
        <w:rPr>
          <w:rFonts w:ascii="Times New Roman" w:cs="Times New Roman" w:eastAsia="Times New Roman" w:hAnsi="Times New Roman"/>
          <w:sz w:val="16"/>
          <w:szCs w:val="16"/>
          <w:color w:val="auto"/>
        </w:rPr>
        <w:t xml:space="preserve">2.14.4. </w:t>
      </w:r>
      <w:r>
        <w:rPr>
          <w:rFonts w:ascii="Times New Roman" w:cs="Times New Roman" w:eastAsia="Times New Roman" w:hAnsi="Times New Roman"/>
          <w:sz w:val="16"/>
          <w:szCs w:val="16"/>
          <w:u w:val="single" w:color="auto"/>
          <w:color w:val="auto"/>
        </w:rPr>
        <w:t>Acts of Holders</w:t>
      </w:r>
      <w:r>
        <w:rPr>
          <w:rFonts w:ascii="Times New Roman" w:cs="Times New Roman" w:eastAsia="Times New Roman" w:hAnsi="Times New Roman"/>
          <w:sz w:val="16"/>
          <w:szCs w:val="16"/>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04" w:lineRule="exact"/>
        <w:rPr>
          <w:sz w:val="20"/>
          <w:szCs w:val="20"/>
          <w:color w:val="auto"/>
        </w:rPr>
      </w:pPr>
    </w:p>
    <w:p>
      <w:pPr>
        <w:jc w:val="both"/>
        <w:ind w:firstLine="985"/>
        <w:spacing w:after="0" w:line="253" w:lineRule="auto"/>
        <w:rPr>
          <w:sz w:val="20"/>
          <w:szCs w:val="20"/>
          <w:color w:val="auto"/>
        </w:rPr>
      </w:pPr>
      <w:r>
        <w:rPr>
          <w:rFonts w:ascii="Times New Roman" w:cs="Times New Roman" w:eastAsia="Times New Roman" w:hAnsi="Times New Roman"/>
          <w:sz w:val="16"/>
          <w:szCs w:val="16"/>
          <w:color w:val="auto"/>
        </w:rPr>
        <w:t xml:space="preserve">2.14.5. </w:t>
      </w:r>
      <w:r>
        <w:rPr>
          <w:rFonts w:ascii="Times New Roman" w:cs="Times New Roman" w:eastAsia="Times New Roman" w:hAnsi="Times New Roman"/>
          <w:sz w:val="16"/>
          <w:szCs w:val="16"/>
          <w:u w:val="single" w:color="auto"/>
          <w:color w:val="auto"/>
        </w:rPr>
        <w:t>Payments</w:t>
      </w:r>
      <w:r>
        <w:rPr>
          <w:rFonts w:ascii="Times New Roman" w:cs="Times New Roman" w:eastAsia="Times New Roman" w:hAnsi="Times New Roman"/>
          <w:sz w:val="16"/>
          <w:szCs w:val="16"/>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04" w:lineRule="exact"/>
        <w:rPr>
          <w:sz w:val="20"/>
          <w:szCs w:val="20"/>
          <w:color w:val="auto"/>
        </w:rPr>
      </w:pPr>
    </w:p>
    <w:p>
      <w:pPr>
        <w:jc w:val="both"/>
        <w:ind w:firstLine="985"/>
        <w:spacing w:after="0" w:line="223" w:lineRule="auto"/>
        <w:rPr>
          <w:sz w:val="20"/>
          <w:szCs w:val="20"/>
          <w:color w:val="auto"/>
        </w:rPr>
      </w:pPr>
      <w:r>
        <w:rPr>
          <w:rFonts w:ascii="Times New Roman" w:cs="Times New Roman" w:eastAsia="Times New Roman" w:hAnsi="Times New Roman"/>
          <w:sz w:val="16"/>
          <w:szCs w:val="16"/>
          <w:color w:val="auto"/>
        </w:rPr>
        <w:t xml:space="preserve">2.14.6. </w:t>
      </w:r>
      <w:r>
        <w:rPr>
          <w:rFonts w:ascii="Times New Roman" w:cs="Times New Roman" w:eastAsia="Times New Roman" w:hAnsi="Times New Roman"/>
          <w:sz w:val="16"/>
          <w:szCs w:val="16"/>
          <w:u w:val="single" w:color="auto"/>
          <w:color w:val="auto"/>
        </w:rPr>
        <w:t>Agent Members</w:t>
      </w:r>
      <w:r>
        <w:rPr>
          <w:rFonts w:ascii="Times New Roman" w:cs="Times New Roman" w:eastAsia="Times New Roman" w:hAnsi="Times New Roman"/>
          <w:sz w:val="16"/>
          <w:szCs w:val="16"/>
          <w:color w:val="auto"/>
        </w:rPr>
        <w:t>. The registered Holder of a Security will be treated as the owner of such Security for all purposes and only registered Holders shall have rights under this Indenture and the Securities. Members of, or participants in, the Depositary (“</w:t>
      </w:r>
      <w:r>
        <w:rPr>
          <w:rFonts w:ascii="Times New Roman" w:cs="Times New Roman" w:eastAsia="Times New Roman" w:hAnsi="Times New Roman"/>
          <w:sz w:val="16"/>
          <w:szCs w:val="16"/>
          <w:i w:val="1"/>
          <w:iCs w:val="1"/>
          <w:color w:val="auto"/>
        </w:rPr>
        <w:t>Agent Members</w:t>
      </w:r>
      <w:r>
        <w:rPr>
          <w:rFonts w:ascii="Times New Roman" w:cs="Times New Roman" w:eastAsia="Times New Roman" w:hAnsi="Times New Roman"/>
          <w:sz w:val="16"/>
          <w:szCs w:val="16"/>
          <w:color w:val="auto"/>
        </w:rPr>
        <w:t>”) and persons who hold beneficial interests in a Global Security through an Agent Member shall have no rights under this Indenture with respect to any Global Security held on their behalf by the Depositary. The Depositary may be treated by the Company, the Trustee, the Paying Agent, the Registrar and any agent of the foregoing as the absolute owner of the Global Securities for all purposes whatsoever. Notwithstanding the foregoing, nothing herein shall prevent the Company, the Trustee, the Paying Agent, the Registrar or any agent of the foregoing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Security.</w:t>
      </w:r>
    </w:p>
    <w:p>
      <w:pPr>
        <w:spacing w:after="0" w:line="116"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2.15.</w:t>
      </w:r>
      <w:r>
        <w:rPr>
          <w:sz w:val="20"/>
          <w:szCs w:val="20"/>
          <w:color w:val="auto"/>
        </w:rPr>
        <w:tab/>
      </w:r>
      <w:r>
        <w:rPr>
          <w:rFonts w:ascii="Times New Roman" w:cs="Times New Roman" w:eastAsia="Times New Roman" w:hAnsi="Times New Roman"/>
          <w:sz w:val="16"/>
          <w:szCs w:val="16"/>
          <w:u w:val="single" w:color="auto"/>
          <w:color w:val="auto"/>
        </w:rPr>
        <w:t>CUSIP Numbers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40" w:firstLine="985"/>
        <w:spacing w:after="0" w:line="273" w:lineRule="auto"/>
        <w:rPr>
          <w:sz w:val="20"/>
          <w:szCs w:val="20"/>
          <w:color w:val="auto"/>
        </w:rPr>
      </w:pPr>
      <w:r>
        <w:rPr>
          <w:rFonts w:ascii="Times New Roman" w:cs="Times New Roman" w:eastAsia="Times New Roman" w:hAnsi="Times New Roman"/>
          <w:sz w:val="16"/>
          <w:szCs w:val="16"/>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280"/>
          </w:cols>
          <w:pgMar w:left="300" w:top="1114"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color w:val="auto"/>
        </w:rPr>
        <w:t>identification printed on the Securities, and any such redemption shall not be affected by any defect in or omission of such numbers.</w:t>
      </w:r>
    </w:p>
    <w:p>
      <w:pPr>
        <w:spacing w:after="0" w:line="17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ARTICLE III. REDEMPTION</w:t>
      </w:r>
    </w:p>
    <w:p>
      <w:pPr>
        <w:spacing w:after="0" w:line="155"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3.1.</w:t>
      </w:r>
      <w:r>
        <w:rPr>
          <w:sz w:val="20"/>
          <w:szCs w:val="20"/>
          <w:color w:val="auto"/>
        </w:rPr>
        <w:tab/>
      </w:r>
      <w:r>
        <w:rPr>
          <w:rFonts w:ascii="Times New Roman" w:cs="Times New Roman" w:eastAsia="Times New Roman" w:hAnsi="Times New Roman"/>
          <w:sz w:val="16"/>
          <w:szCs w:val="16"/>
          <w:u w:val="single" w:color="auto"/>
          <w:color w:val="auto"/>
        </w:rPr>
        <w:t>Notice to Trustee</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80" w:firstLine="985"/>
        <w:spacing w:after="0" w:line="267" w:lineRule="auto"/>
        <w:rPr>
          <w:sz w:val="20"/>
          <w:szCs w:val="20"/>
          <w:color w:val="auto"/>
        </w:rPr>
      </w:pPr>
      <w:r>
        <w:rPr>
          <w:rFonts w:ascii="Times New Roman" w:cs="Times New Roman" w:eastAsia="Times New Roman" w:hAnsi="Times New Roman"/>
          <w:sz w:val="16"/>
          <w:szCs w:val="16"/>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the Series of Securities to be redeemed. The Company shall give the notice at least 15 days before the redemption date (or such shorter period as may be acceptable to the Trustee).</w:t>
      </w:r>
    </w:p>
    <w:p>
      <w:pPr>
        <w:spacing w:after="0" w:line="105"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3.2.</w:t>
      </w:r>
      <w:r>
        <w:rPr>
          <w:sz w:val="20"/>
          <w:szCs w:val="20"/>
          <w:color w:val="auto"/>
        </w:rPr>
        <w:tab/>
      </w:r>
      <w:r>
        <w:rPr>
          <w:rFonts w:ascii="Times New Roman" w:cs="Times New Roman" w:eastAsia="Times New Roman" w:hAnsi="Times New Roman"/>
          <w:sz w:val="16"/>
          <w:szCs w:val="16"/>
          <w:u w:val="single" w:color="auto"/>
          <w:color w:val="auto"/>
        </w:rPr>
        <w:t>Selection of Securities to be Redeemed</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985"/>
        <w:spacing w:after="0" w:line="260" w:lineRule="auto"/>
        <w:rPr>
          <w:sz w:val="20"/>
          <w:szCs w:val="20"/>
          <w:color w:val="auto"/>
        </w:rPr>
      </w:pPr>
      <w:r>
        <w:rPr>
          <w:rFonts w:ascii="Times New Roman" w:cs="Times New Roman" w:eastAsia="Times New Roman" w:hAnsi="Times New Roman"/>
          <w:sz w:val="16"/>
          <w:szCs w:val="16"/>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 Neither the Trustee nor the Paying Agent shall be liable for any selection made by it in accordance with this paragraph (including the procedures of the Depositary).</w:t>
      </w:r>
    </w:p>
    <w:p>
      <w:pPr>
        <w:spacing w:after="0" w:line="116"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3.3.</w:t>
      </w:r>
      <w:r>
        <w:rPr>
          <w:sz w:val="20"/>
          <w:szCs w:val="20"/>
          <w:color w:val="auto"/>
        </w:rPr>
        <w:tab/>
      </w:r>
      <w:r>
        <w:rPr>
          <w:rFonts w:ascii="Times New Roman" w:cs="Times New Roman" w:eastAsia="Times New Roman" w:hAnsi="Times New Roman"/>
          <w:sz w:val="16"/>
          <w:szCs w:val="16"/>
          <w:u w:val="single" w:color="auto"/>
          <w:color w:val="auto"/>
        </w:rPr>
        <w:t>Notice of Redemption</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160" w:firstLine="985"/>
        <w:spacing w:after="0" w:line="307" w:lineRule="auto"/>
        <w:rPr>
          <w:sz w:val="20"/>
          <w:szCs w:val="20"/>
          <w:color w:val="auto"/>
        </w:rPr>
      </w:pPr>
      <w:r>
        <w:rPr>
          <w:rFonts w:ascii="Times New Roman" w:cs="Times New Roman" w:eastAsia="Times New Roman" w:hAnsi="Times New Roman"/>
          <w:sz w:val="16"/>
          <w:szCs w:val="16"/>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280"/>
          </w:cols>
          <w:pgMar w:left="300" w:top="1114"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color w:val="auto"/>
        </w:rPr>
        <w:t>electronically, in accordance with the procedures of the Depositary, a notice of redemption to each Holder whose Securities are to be redeemed.</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The notice shall identify the Securities of the Series to be redeemed and shall state:</w:t>
      </w:r>
    </w:p>
    <w:p>
      <w:pPr>
        <w:spacing w:after="0" w:line="155" w:lineRule="exact"/>
        <w:rPr>
          <w:sz w:val="20"/>
          <w:szCs w:val="20"/>
          <w:color w:val="auto"/>
        </w:rPr>
      </w:pPr>
    </w:p>
    <w:p>
      <w:pPr>
        <w:ind w:left="1480" w:hanging="493"/>
        <w:spacing w:after="0"/>
        <w:tabs>
          <w:tab w:leader="none" w:pos="148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date;</w:t>
      </w:r>
    </w:p>
    <w:p>
      <w:pPr>
        <w:spacing w:after="0" w:line="14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price;</w:t>
      </w:r>
    </w:p>
    <w:p>
      <w:pPr>
        <w:spacing w:after="0" w:line="14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and address of the Paying Agent;</w:t>
      </w:r>
    </w:p>
    <w:p>
      <w:pPr>
        <w:spacing w:after="0" w:line="144" w:lineRule="exact"/>
        <w:rPr>
          <w:rFonts w:ascii="Times New Roman" w:cs="Times New Roman" w:eastAsia="Times New Roman" w:hAnsi="Times New Roman"/>
          <w:sz w:val="16"/>
          <w:szCs w:val="16"/>
          <w:color w:val="auto"/>
        </w:rPr>
      </w:pPr>
    </w:p>
    <w:p>
      <w:pPr>
        <w:jc w:val="both"/>
        <w:ind w:left="500" w:firstLine="487"/>
        <w:spacing w:after="0" w:line="235" w:lineRule="auto"/>
        <w:tabs>
          <w:tab w:leader="none" w:pos="1481"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16"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Securities of the Series called for redemption must be surrendered to the Paying Agent to collect the redemption price;</w:t>
      </w:r>
    </w:p>
    <w:p>
      <w:pPr>
        <w:spacing w:after="0" w:line="144" w:lineRule="exact"/>
        <w:rPr>
          <w:rFonts w:ascii="Times New Roman" w:cs="Times New Roman" w:eastAsia="Times New Roman" w:hAnsi="Times New Roman"/>
          <w:sz w:val="16"/>
          <w:szCs w:val="16"/>
          <w:color w:val="auto"/>
        </w:rPr>
      </w:pPr>
    </w:p>
    <w:p>
      <w:pPr>
        <w:ind w:left="500" w:firstLine="487"/>
        <w:spacing w:after="0" w:line="253" w:lineRule="auto"/>
        <w:tabs>
          <w:tab w:leader="none" w:pos="1505"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interest on Securities of the Series called for redemption ceases to accrue on and after the redemption date unless the Company defaults in the deposit of the redemption price;</w:t>
      </w:r>
    </w:p>
    <w:p>
      <w:pPr>
        <w:spacing w:after="0" w:line="10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“CUSIP” number, if any; and</w:t>
      </w:r>
    </w:p>
    <w:p>
      <w:pPr>
        <w:spacing w:after="0" w:line="14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information as may be required by the terms of the particular Series or the Securities of a Series being redeemed.</w:t>
      </w:r>
    </w:p>
    <w:p>
      <w:pPr>
        <w:spacing w:after="0" w:line="165" w:lineRule="exact"/>
        <w:rPr>
          <w:sz w:val="20"/>
          <w:szCs w:val="20"/>
          <w:color w:val="auto"/>
        </w:rPr>
      </w:pPr>
    </w:p>
    <w:p>
      <w:pPr>
        <w:ind w:right="100" w:firstLine="985"/>
        <w:spacing w:after="0" w:line="280" w:lineRule="auto"/>
        <w:rPr>
          <w:sz w:val="20"/>
          <w:szCs w:val="20"/>
          <w:color w:val="auto"/>
        </w:rPr>
      </w:pPr>
      <w:r>
        <w:rPr>
          <w:rFonts w:ascii="Times New Roman" w:cs="Times New Roman" w:eastAsia="Times New Roman" w:hAnsi="Times New Roman"/>
          <w:sz w:val="16"/>
          <w:szCs w:val="16"/>
          <w:color w:val="auto"/>
        </w:rPr>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 and the form of such notice.</w:t>
      </w:r>
    </w:p>
    <w:p>
      <w:pPr>
        <w:spacing w:after="0" w:line="95"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3.4.</w:t>
      </w:r>
      <w:r>
        <w:rPr>
          <w:sz w:val="20"/>
          <w:szCs w:val="20"/>
          <w:color w:val="auto"/>
        </w:rPr>
        <w:tab/>
      </w:r>
      <w:r>
        <w:rPr>
          <w:rFonts w:ascii="Times New Roman" w:cs="Times New Roman" w:eastAsia="Times New Roman" w:hAnsi="Times New Roman"/>
          <w:sz w:val="16"/>
          <w:szCs w:val="16"/>
          <w:u w:val="single" w:color="auto"/>
          <w:color w:val="auto"/>
        </w:rPr>
        <w:t>Effect of Notice of Redemption</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20" w:firstLine="985"/>
        <w:spacing w:after="0" w:line="273" w:lineRule="auto"/>
        <w:rPr>
          <w:sz w:val="20"/>
          <w:szCs w:val="20"/>
          <w:color w:val="auto"/>
        </w:rPr>
      </w:pPr>
      <w:r>
        <w:rPr>
          <w:rFonts w:ascii="Times New Roman" w:cs="Times New Roman" w:eastAsia="Times New Roman" w:hAnsi="Times New Roman"/>
          <w:sz w:val="16"/>
          <w:szCs w:val="16"/>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11"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3.5.</w:t>
      </w:r>
      <w:r>
        <w:rPr>
          <w:sz w:val="20"/>
          <w:szCs w:val="20"/>
          <w:color w:val="auto"/>
        </w:rPr>
        <w:tab/>
      </w:r>
      <w:r>
        <w:rPr>
          <w:rFonts w:ascii="Times New Roman" w:cs="Times New Roman" w:eastAsia="Times New Roman" w:hAnsi="Times New Roman"/>
          <w:sz w:val="16"/>
          <w:szCs w:val="16"/>
          <w:u w:val="single" w:color="auto"/>
          <w:color w:val="auto"/>
        </w:rPr>
        <w:t>Deposit of Redemption Price</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540" w:firstLine="985"/>
        <w:spacing w:after="0" w:line="293" w:lineRule="auto"/>
        <w:rPr>
          <w:sz w:val="20"/>
          <w:szCs w:val="20"/>
          <w:color w:val="auto"/>
        </w:rPr>
      </w:pPr>
      <w:r>
        <w:rPr>
          <w:rFonts w:ascii="Times New Roman" w:cs="Times New Roman" w:eastAsia="Times New Roman" w:hAnsi="Times New Roman"/>
          <w:sz w:val="16"/>
          <w:szCs w:val="16"/>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280"/>
          </w:cols>
          <w:pgMar w:left="300" w:top="1114" w:right="319" w:bottom="1440" w:gutter="0" w:footer="0" w:header="0"/>
        </w:sectPr>
      </w:pPr>
    </w:p>
    <w:bookmarkStart w:id="123" w:name="page124"/>
    <w:bookmarkEnd w:id="123"/>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3.6.</w:t>
      </w:r>
      <w:r>
        <w:rPr>
          <w:sz w:val="20"/>
          <w:szCs w:val="20"/>
          <w:color w:val="auto"/>
        </w:rPr>
        <w:tab/>
      </w:r>
      <w:r>
        <w:rPr>
          <w:rFonts w:ascii="Times New Roman" w:cs="Times New Roman" w:eastAsia="Times New Roman" w:hAnsi="Times New Roman"/>
          <w:sz w:val="16"/>
          <w:szCs w:val="16"/>
          <w:u w:val="single" w:color="auto"/>
          <w:color w:val="auto"/>
        </w:rPr>
        <w:t>Securities Redeemed in Part</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firstLine="985"/>
        <w:spacing w:after="0" w:line="293" w:lineRule="auto"/>
        <w:rPr>
          <w:sz w:val="20"/>
          <w:szCs w:val="20"/>
          <w:color w:val="auto"/>
        </w:rPr>
      </w:pPr>
      <w:r>
        <w:rPr>
          <w:rFonts w:ascii="Times New Roman" w:cs="Times New Roman" w:eastAsia="Times New Roman" w:hAnsi="Times New Roman"/>
          <w:sz w:val="16"/>
          <w:szCs w:val="16"/>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0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ARTICLE IV. COVENANTS</w:t>
      </w:r>
    </w:p>
    <w:p>
      <w:pPr>
        <w:spacing w:after="0" w:line="165"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4.1.</w:t>
      </w:r>
      <w:r>
        <w:rPr>
          <w:sz w:val="20"/>
          <w:szCs w:val="20"/>
          <w:color w:val="auto"/>
        </w:rPr>
        <w:tab/>
      </w:r>
      <w:r>
        <w:rPr>
          <w:rFonts w:ascii="Times New Roman" w:cs="Times New Roman" w:eastAsia="Times New Roman" w:hAnsi="Times New Roman"/>
          <w:sz w:val="16"/>
          <w:szCs w:val="16"/>
          <w:u w:val="single" w:color="auto"/>
          <w:color w:val="auto"/>
        </w:rPr>
        <w:t>Payment of Principal and Interest</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60" w:firstLine="985"/>
        <w:spacing w:after="0" w:line="267" w:lineRule="auto"/>
        <w:rPr>
          <w:sz w:val="20"/>
          <w:szCs w:val="20"/>
          <w:color w:val="auto"/>
        </w:rPr>
      </w:pPr>
      <w:r>
        <w:rPr>
          <w:rFonts w:ascii="Times New Roman" w:cs="Times New Roman" w:eastAsia="Times New Roman" w:hAnsi="Times New Roman"/>
          <w:sz w:val="16"/>
          <w:szCs w:val="16"/>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0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4.2.</w:t>
      </w:r>
      <w:r>
        <w:rPr>
          <w:sz w:val="20"/>
          <w:szCs w:val="20"/>
          <w:color w:val="auto"/>
        </w:rPr>
        <w:tab/>
      </w:r>
      <w:r>
        <w:rPr>
          <w:rFonts w:ascii="Times New Roman" w:cs="Times New Roman" w:eastAsia="Times New Roman" w:hAnsi="Times New Roman"/>
          <w:sz w:val="16"/>
          <w:szCs w:val="16"/>
          <w:u w:val="single" w:color="auto"/>
          <w:color w:val="auto"/>
        </w:rPr>
        <w:t>SEC Reports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firstLine="985"/>
        <w:spacing w:after="0" w:line="267" w:lineRule="auto"/>
        <w:rPr>
          <w:sz w:val="20"/>
          <w:szCs w:val="20"/>
          <w:color w:val="auto"/>
        </w:rPr>
      </w:pPr>
      <w:r>
        <w:rPr>
          <w:rFonts w:ascii="Times New Roman" w:cs="Times New Roman" w:eastAsia="Times New Roman" w:hAnsi="Times New Roman"/>
          <w:sz w:val="16"/>
          <w:szCs w:val="16"/>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125" w:lineRule="exact"/>
        <w:rPr>
          <w:sz w:val="20"/>
          <w:szCs w:val="20"/>
          <w:color w:val="auto"/>
        </w:rPr>
      </w:pPr>
    </w:p>
    <w:p>
      <w:pPr>
        <w:ind w:firstLine="985"/>
        <w:spacing w:after="0" w:line="267" w:lineRule="auto"/>
        <w:rPr>
          <w:sz w:val="20"/>
          <w:szCs w:val="20"/>
          <w:color w:val="auto"/>
        </w:rPr>
      </w:pPr>
      <w:r>
        <w:rPr>
          <w:rFonts w:ascii="Times New Roman" w:cs="Times New Roman" w:eastAsia="Times New Roman" w:hAnsi="Times New Roman"/>
          <w:sz w:val="16"/>
          <w:szCs w:val="16"/>
          <w:color w:val="auto"/>
        </w:rPr>
        <w:t>Delivery of reports, information and documents to the Trustee under this Section 4.2 is for informational purposes only and the Trustee’s receipt of the foregoing shall not constitute constructive or actual notice of any information contained therein or determinable from information contained therein, including the Company’s compliance with any of the covenants hereunder (as to which the Trustee is entitled to rely exclusively on Officer’s Certificates). All such reports, information or documents referred to in this Section 4.2 that the Company files with the SEC via the SEC’s EDGAR system shall be deemed to be filed with the Trustee and transmitted to Holders at the time such reports, information or documents are filed via the EDGAR system (or any successor system).</w:t>
      </w:r>
    </w:p>
    <w:p>
      <w:pPr>
        <w:spacing w:after="0" w:line="105"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4.3.</w:t>
      </w:r>
      <w:r>
        <w:rPr>
          <w:sz w:val="20"/>
          <w:szCs w:val="20"/>
          <w:color w:val="auto"/>
        </w:rPr>
        <w:tab/>
      </w:r>
      <w:r>
        <w:rPr>
          <w:rFonts w:ascii="Times New Roman" w:cs="Times New Roman" w:eastAsia="Times New Roman" w:hAnsi="Times New Roman"/>
          <w:sz w:val="16"/>
          <w:szCs w:val="16"/>
          <w:u w:val="single" w:color="auto"/>
          <w:color w:val="auto"/>
        </w:rPr>
        <w:t>Compliance Certificate</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160" w:firstLine="985"/>
        <w:spacing w:after="0" w:line="271" w:lineRule="auto"/>
        <w:rPr>
          <w:sz w:val="20"/>
          <w:szCs w:val="20"/>
          <w:color w:val="auto"/>
        </w:rPr>
      </w:pPr>
      <w:r>
        <w:rPr>
          <w:rFonts w:ascii="Times New Roman" w:cs="Times New Roman" w:eastAsia="Times New Roman" w:hAnsi="Times New Roman"/>
          <w:sz w:val="16"/>
          <w:szCs w:val="16"/>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his/her knowledge the Company has kept, observed, performed and fulfilled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200"/>
          </w:cols>
          <w:pgMar w:left="300" w:top="1093" w:right="399" w:bottom="1440" w:gutter="0" w:footer="0" w:header="0"/>
        </w:sectPr>
      </w:pPr>
    </w:p>
    <w:bookmarkStart w:id="124" w:name="page125"/>
    <w:bookmarkEnd w:id="124"/>
    <w:p>
      <w:pPr>
        <w:ind w:right="260"/>
        <w:spacing w:after="0" w:line="293" w:lineRule="auto"/>
        <w:rPr>
          <w:sz w:val="20"/>
          <w:szCs w:val="20"/>
          <w:color w:val="auto"/>
        </w:rPr>
      </w:pPr>
      <w:r>
        <w:rPr>
          <w:rFonts w:ascii="Times New Roman" w:cs="Times New Roman" w:eastAsia="Times New Roman" w:hAnsi="Times New Roman"/>
          <w:sz w:val="16"/>
          <w:szCs w:val="16"/>
          <w:color w:val="auto"/>
        </w:rPr>
        <w:t>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8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4.4.</w:t>
      </w:r>
      <w:r>
        <w:rPr>
          <w:sz w:val="20"/>
          <w:szCs w:val="20"/>
          <w:color w:val="auto"/>
        </w:rPr>
        <w:tab/>
      </w:r>
      <w:r>
        <w:rPr>
          <w:rFonts w:ascii="Times New Roman" w:cs="Times New Roman" w:eastAsia="Times New Roman" w:hAnsi="Times New Roman"/>
          <w:sz w:val="16"/>
          <w:szCs w:val="16"/>
          <w:u w:val="single" w:color="auto"/>
          <w:color w:val="auto"/>
        </w:rPr>
        <w:t>Stay, Extension and Usury Laws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40" w:firstLine="985"/>
        <w:spacing w:after="0" w:line="267" w:lineRule="auto"/>
        <w:rPr>
          <w:sz w:val="20"/>
          <w:szCs w:val="20"/>
          <w:color w:val="auto"/>
        </w:rPr>
      </w:pPr>
      <w:r>
        <w:rPr>
          <w:rFonts w:ascii="Times New Roman" w:cs="Times New Roman" w:eastAsia="Times New Roman" w:hAnsi="Times New Roman"/>
          <w:sz w:val="16"/>
          <w:szCs w:val="16"/>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ARTICLE V. SUCCESSORS</w:t>
      </w:r>
    </w:p>
    <w:p>
      <w:pPr>
        <w:spacing w:after="0" w:line="165"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5.1.</w:t>
      </w:r>
      <w:r>
        <w:rPr>
          <w:sz w:val="20"/>
          <w:szCs w:val="20"/>
          <w:color w:val="auto"/>
        </w:rPr>
        <w:tab/>
      </w:r>
      <w:r>
        <w:rPr>
          <w:rFonts w:ascii="Times New Roman" w:cs="Times New Roman" w:eastAsia="Times New Roman" w:hAnsi="Times New Roman"/>
          <w:sz w:val="16"/>
          <w:szCs w:val="16"/>
          <w:u w:val="single" w:color="auto"/>
          <w:color w:val="auto"/>
        </w:rPr>
        <w:t>When Company May Merge, Etc</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160" w:firstLine="985"/>
        <w:spacing w:after="0" w:line="293" w:lineRule="auto"/>
        <w:rPr>
          <w:sz w:val="20"/>
          <w:szCs w:val="20"/>
          <w:color w:val="auto"/>
        </w:rPr>
      </w:pPr>
      <w:r>
        <w:rPr>
          <w:rFonts w:ascii="Times New Roman" w:cs="Times New Roman" w:eastAsia="Times New Roman" w:hAnsi="Times New Roman"/>
          <w:sz w:val="16"/>
          <w:szCs w:val="16"/>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16"/>
          <w:szCs w:val="16"/>
          <w:i w:val="1"/>
          <w:iCs w:val="1"/>
          <w:color w:val="auto"/>
        </w:rPr>
        <w:t>successor person</w:t>
      </w:r>
      <w:r>
        <w:rPr>
          <w:rFonts w:ascii="Times New Roman" w:cs="Times New Roman" w:eastAsia="Times New Roman" w:hAnsi="Times New Roman"/>
          <w:sz w:val="16"/>
          <w:szCs w:val="16"/>
          <w:color w:val="auto"/>
        </w:rPr>
        <w:t>”) unless:</w:t>
      </w:r>
    </w:p>
    <w:p>
      <w:pPr>
        <w:spacing w:after="0" w:line="84" w:lineRule="exact"/>
        <w:rPr>
          <w:sz w:val="20"/>
          <w:szCs w:val="20"/>
          <w:color w:val="auto"/>
        </w:rPr>
      </w:pPr>
    </w:p>
    <w:p>
      <w:pPr>
        <w:jc w:val="both"/>
        <w:ind w:left="500" w:firstLine="487"/>
        <w:spacing w:after="0" w:line="227" w:lineRule="auto"/>
        <w:tabs>
          <w:tab w:leader="none" w:pos="1564"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is the surviving entity or the successor person (if other than the Company) is an exempted company, corporation, partnership, exempted limited partnership, trust or other entity organized, registered or formed and validly existing under the laws of the Cayman Islands, any U.S. domestic jurisdiction or any other jurisdiction,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such successor person is organized under the laws of a jurisdiction other than the Cayman Islands or any U.S. domestic jurisdiction, such successor person shall appoint a process agent in the Borough of Manhattan, The City of New York, and expressly assumes by supplemental indenture the Company’s obligations on the Securities and under this Indenture; and</w:t>
      </w:r>
    </w:p>
    <w:p>
      <w:pPr>
        <w:spacing w:after="0" w:line="11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after giving effect to the transaction, no Default or Event of Default, shall have occurred and be continuing.</w:t>
      </w:r>
    </w:p>
    <w:p>
      <w:pPr>
        <w:spacing w:after="0" w:line="165" w:lineRule="exact"/>
        <w:rPr>
          <w:sz w:val="20"/>
          <w:szCs w:val="20"/>
          <w:color w:val="auto"/>
        </w:rPr>
      </w:pPr>
    </w:p>
    <w:p>
      <w:pPr>
        <w:ind w:right="440" w:firstLine="985"/>
        <w:spacing w:after="0" w:line="293" w:lineRule="auto"/>
        <w:rPr>
          <w:sz w:val="20"/>
          <w:szCs w:val="20"/>
          <w:color w:val="auto"/>
        </w:rPr>
      </w:pPr>
      <w:r>
        <w:rPr>
          <w:rFonts w:ascii="Times New Roman" w:cs="Times New Roman" w:eastAsia="Times New Roman" w:hAnsi="Times New Roman"/>
          <w:sz w:val="16"/>
          <w:szCs w:val="16"/>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05" w:lineRule="exact"/>
        <w:rPr>
          <w:sz w:val="20"/>
          <w:szCs w:val="20"/>
          <w:color w:val="auto"/>
        </w:rPr>
      </w:pPr>
    </w:p>
    <w:p>
      <w:pPr>
        <w:ind w:firstLine="985"/>
        <w:spacing w:after="0" w:line="293" w:lineRule="auto"/>
        <w:rPr>
          <w:sz w:val="20"/>
          <w:szCs w:val="20"/>
          <w:color w:val="auto"/>
        </w:rPr>
      </w:pPr>
      <w:r>
        <w:rPr>
          <w:rFonts w:ascii="Times New Roman" w:cs="Times New Roman" w:eastAsia="Times New Roman" w:hAnsi="Times New Roman"/>
          <w:sz w:val="16"/>
          <w:szCs w:val="16"/>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9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5.2.</w:t>
      </w:r>
      <w:r>
        <w:rPr>
          <w:sz w:val="20"/>
          <w:szCs w:val="20"/>
          <w:color w:val="auto"/>
        </w:rPr>
        <w:tab/>
      </w:r>
      <w:r>
        <w:rPr>
          <w:rFonts w:ascii="Times New Roman" w:cs="Times New Roman" w:eastAsia="Times New Roman" w:hAnsi="Times New Roman"/>
          <w:sz w:val="16"/>
          <w:szCs w:val="16"/>
          <w:u w:val="single" w:color="auto"/>
          <w:color w:val="auto"/>
        </w:rPr>
        <w:t>Successor Corporation Substituted</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140" w:firstLine="985"/>
        <w:spacing w:after="0" w:line="293" w:lineRule="auto"/>
        <w:rPr>
          <w:sz w:val="20"/>
          <w:szCs w:val="20"/>
          <w:color w:val="auto"/>
        </w:rPr>
      </w:pPr>
      <w:r>
        <w:rPr>
          <w:rFonts w:ascii="Times New Roman" w:cs="Times New Roman" w:eastAsia="Times New Roman" w:hAnsi="Times New Roman"/>
          <w:sz w:val="16"/>
          <w:szCs w:val="16"/>
          <w:color w:val="auto"/>
        </w:rPr>
        <w:t>Upon any consolidation or merger, or any sale, lease, conveyance or other disposition of all or substantially all of the assets of the Company in accordance with Section 5.1,</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280"/>
          </w:cols>
          <w:pgMar w:left="300" w:top="1114" w:right="319" w:bottom="1440" w:gutter="0" w:footer="0" w:header="0"/>
        </w:sectPr>
      </w:pPr>
    </w:p>
    <w:bookmarkStart w:id="125" w:name="page126"/>
    <w:bookmarkEnd w:id="125"/>
    <w:p>
      <w:pPr>
        <w:ind w:right="40"/>
        <w:spacing w:after="0" w:line="271" w:lineRule="auto"/>
        <w:rPr>
          <w:sz w:val="20"/>
          <w:szCs w:val="20"/>
          <w:color w:val="auto"/>
        </w:rPr>
      </w:pPr>
      <w:r>
        <w:rPr>
          <w:rFonts w:ascii="Times New Roman" w:cs="Times New Roman" w:eastAsia="Times New Roman" w:hAnsi="Times New Roman"/>
          <w:sz w:val="16"/>
          <w:szCs w:val="16"/>
          <w:color w:val="auto"/>
        </w:rPr>
        <w:t xml:space="preserve">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predecessor Company in the case of a sale, conveyance or other disposition (other than a lease) shall be released from all obligations and covenants under this Indenture and the Securities.</w:t>
      </w:r>
    </w:p>
    <w:p>
      <w:pPr>
        <w:spacing w:after="0" w:line="12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ARTICLE VI. DEFAULTS AND REMEDIES</w:t>
      </w:r>
    </w:p>
    <w:p>
      <w:pPr>
        <w:spacing w:after="0" w:line="155"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6.1.</w:t>
      </w:r>
      <w:r>
        <w:rPr>
          <w:sz w:val="20"/>
          <w:szCs w:val="20"/>
          <w:color w:val="auto"/>
        </w:rPr>
        <w:tab/>
      </w:r>
      <w:r>
        <w:rPr>
          <w:rFonts w:ascii="Times New Roman" w:cs="Times New Roman" w:eastAsia="Times New Roman" w:hAnsi="Times New Roman"/>
          <w:sz w:val="16"/>
          <w:szCs w:val="16"/>
          <w:u w:val="single" w:color="auto"/>
          <w:color w:val="auto"/>
        </w:rPr>
        <w:t>Events of Default</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ind w:right="200" w:firstLine="985"/>
        <w:spacing w:after="0" w:line="29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Event of Default</w:t>
      </w:r>
      <w:r>
        <w:rPr>
          <w:rFonts w:ascii="Times New Roman" w:cs="Times New Roman" w:eastAsia="Times New Roman" w:hAnsi="Times New Roman"/>
          <w:sz w:val="16"/>
          <w:szCs w:val="16"/>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82" w:lineRule="exact"/>
        <w:rPr>
          <w:sz w:val="20"/>
          <w:szCs w:val="20"/>
          <w:color w:val="auto"/>
        </w:rPr>
      </w:pPr>
    </w:p>
    <w:p>
      <w:pPr>
        <w:jc w:val="both"/>
        <w:ind w:left="500" w:firstLine="487"/>
        <w:spacing w:after="0" w:line="243" w:lineRule="auto"/>
        <w:tabs>
          <w:tab w:leader="none" w:pos="1493"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day of such period);</w:t>
      </w:r>
    </w:p>
    <w:p>
      <w:pPr>
        <w:spacing w:after="0" w:line="39"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payment of principal of any Security of that Series at its Maturity;</w:t>
      </w:r>
    </w:p>
    <w:p>
      <w:pPr>
        <w:spacing w:after="0" w:line="142"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performance or breach of any covenant or warranty of the Company in this Indenture (other than defaults pursuant to paragraph (a) or</w:t>
      </w:r>
    </w:p>
    <w:p>
      <w:pPr>
        <w:jc w:val="both"/>
        <w:ind w:left="500" w:hanging="6"/>
        <w:spacing w:after="0" w:line="224" w:lineRule="auto"/>
        <w:tabs>
          <w:tab w:leader="none" w:pos="735"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above or pursuant to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w:t>
      </w:r>
    </w:p>
    <w:p>
      <w:pPr>
        <w:spacing w:after="0" w:line="115"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pursuant to or within the meaning of any Bankruptcy Law:</w:t>
      </w:r>
    </w:p>
    <w:p>
      <w:pPr>
        <w:spacing w:after="0" w:line="144" w:lineRule="exact"/>
        <w:rPr>
          <w:rFonts w:ascii="Times New Roman" w:cs="Times New Roman" w:eastAsia="Times New Roman" w:hAnsi="Times New Roman"/>
          <w:sz w:val="16"/>
          <w:szCs w:val="16"/>
          <w:color w:val="auto"/>
        </w:rPr>
      </w:pPr>
    </w:p>
    <w:p>
      <w:pPr>
        <w:ind w:left="1960" w:hanging="481"/>
        <w:spacing w:after="0"/>
        <w:tabs>
          <w:tab w:leader="none" w:pos="1960" w:val="left"/>
        </w:tabs>
        <w:numPr>
          <w:ilvl w:val="2"/>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commences a voluntary case,</w:t>
      </w:r>
    </w:p>
    <w:p>
      <w:pPr>
        <w:spacing w:after="0" w:line="144" w:lineRule="exact"/>
        <w:rPr>
          <w:rFonts w:ascii="Times New Roman" w:cs="Times New Roman" w:eastAsia="Times New Roman" w:hAnsi="Times New Roman"/>
          <w:sz w:val="16"/>
          <w:szCs w:val="16"/>
          <w:color w:val="auto"/>
        </w:rPr>
      </w:pPr>
    </w:p>
    <w:p>
      <w:pPr>
        <w:ind w:left="1960" w:hanging="481"/>
        <w:spacing w:after="0"/>
        <w:tabs>
          <w:tab w:leader="none" w:pos="1960" w:val="left"/>
        </w:tabs>
        <w:numPr>
          <w:ilvl w:val="2"/>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consents to the entry of an order for relief against it in an involuntary case,</w:t>
      </w:r>
    </w:p>
    <w:p>
      <w:pPr>
        <w:spacing w:after="0" w:line="144" w:lineRule="exact"/>
        <w:rPr>
          <w:rFonts w:ascii="Times New Roman" w:cs="Times New Roman" w:eastAsia="Times New Roman" w:hAnsi="Times New Roman"/>
          <w:sz w:val="16"/>
          <w:szCs w:val="16"/>
          <w:color w:val="auto"/>
        </w:rPr>
      </w:pPr>
    </w:p>
    <w:p>
      <w:pPr>
        <w:ind w:left="1980" w:hanging="501"/>
        <w:spacing w:after="0"/>
        <w:tabs>
          <w:tab w:leader="none" w:pos="1980" w:val="left"/>
        </w:tabs>
        <w:numPr>
          <w:ilvl w:val="2"/>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consents to the appointment of a Custodian of it or for all or substantially all of its property,</w:t>
      </w:r>
    </w:p>
    <w:p>
      <w:pPr>
        <w:spacing w:after="0" w:line="144" w:lineRule="exact"/>
        <w:rPr>
          <w:rFonts w:ascii="Times New Roman" w:cs="Times New Roman" w:eastAsia="Times New Roman" w:hAnsi="Times New Roman"/>
          <w:sz w:val="16"/>
          <w:szCs w:val="16"/>
          <w:color w:val="auto"/>
        </w:rPr>
      </w:pPr>
    </w:p>
    <w:p>
      <w:pPr>
        <w:ind w:left="1960" w:hanging="481"/>
        <w:spacing w:after="0"/>
        <w:tabs>
          <w:tab w:leader="none" w:pos="1960" w:val="left"/>
        </w:tabs>
        <w:numPr>
          <w:ilvl w:val="2"/>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makes a general assignment for the benefit of its creditors, or</w:t>
      </w:r>
    </w:p>
    <w:p>
      <w:pPr>
        <w:spacing w:after="0" w:line="144" w:lineRule="exact"/>
        <w:rPr>
          <w:rFonts w:ascii="Times New Roman" w:cs="Times New Roman" w:eastAsia="Times New Roman" w:hAnsi="Times New Roman"/>
          <w:sz w:val="16"/>
          <w:szCs w:val="16"/>
          <w:color w:val="auto"/>
        </w:rPr>
      </w:pPr>
    </w:p>
    <w:p>
      <w:pPr>
        <w:ind w:left="1960" w:hanging="481"/>
        <w:spacing w:after="0"/>
        <w:tabs>
          <w:tab w:leader="none" w:pos="1960" w:val="left"/>
        </w:tabs>
        <w:numPr>
          <w:ilvl w:val="2"/>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generally is unable to pay its debts as the same become due;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280"/>
          </w:cols>
          <w:pgMar w:left="300" w:top="1114" w:right="319" w:bottom="1440" w:gutter="0" w:footer="0" w:header="0"/>
        </w:sectPr>
      </w:pPr>
    </w:p>
    <w:bookmarkStart w:id="126" w:name="page127"/>
    <w:bookmarkEnd w:id="126"/>
    <w:p>
      <w:pPr>
        <w:ind w:left="1480" w:hanging="493"/>
        <w:spacing w:after="0"/>
        <w:tabs>
          <w:tab w:leader="none" w:pos="14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court of competent jurisdiction enters an order or decree under any Bankruptcy Law that:</w:t>
      </w:r>
    </w:p>
    <w:p>
      <w:pPr>
        <w:spacing w:after="0" w:line="144" w:lineRule="exact"/>
        <w:rPr>
          <w:rFonts w:ascii="Times New Roman" w:cs="Times New Roman" w:eastAsia="Times New Roman" w:hAnsi="Times New Roman"/>
          <w:sz w:val="16"/>
          <w:szCs w:val="16"/>
          <w:color w:val="auto"/>
        </w:rPr>
      </w:pPr>
    </w:p>
    <w:p>
      <w:pPr>
        <w:ind w:left="1960" w:hanging="481"/>
        <w:spacing w:after="0"/>
        <w:tabs>
          <w:tab w:leader="none" w:pos="196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for relief against the Company in an involuntary case,</w:t>
      </w:r>
    </w:p>
    <w:p>
      <w:pPr>
        <w:spacing w:after="0" w:line="144" w:lineRule="exact"/>
        <w:rPr>
          <w:rFonts w:ascii="Times New Roman" w:cs="Times New Roman" w:eastAsia="Times New Roman" w:hAnsi="Times New Roman"/>
          <w:sz w:val="16"/>
          <w:szCs w:val="16"/>
          <w:color w:val="auto"/>
        </w:rPr>
      </w:pPr>
    </w:p>
    <w:p>
      <w:pPr>
        <w:ind w:left="1960" w:hanging="481"/>
        <w:spacing w:after="0"/>
        <w:tabs>
          <w:tab w:leader="none" w:pos="196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appoints a Custodian of the Company or for all or substantially all of its property, or</w:t>
      </w:r>
    </w:p>
    <w:p>
      <w:pPr>
        <w:spacing w:after="0" w:line="144" w:lineRule="exact"/>
        <w:rPr>
          <w:rFonts w:ascii="Times New Roman" w:cs="Times New Roman" w:eastAsia="Times New Roman" w:hAnsi="Times New Roman"/>
          <w:sz w:val="16"/>
          <w:szCs w:val="16"/>
          <w:color w:val="auto"/>
        </w:rPr>
      </w:pPr>
    </w:p>
    <w:p>
      <w:pPr>
        <w:ind w:left="1980" w:hanging="501"/>
        <w:spacing w:after="0"/>
        <w:tabs>
          <w:tab w:leader="none" w:pos="198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orders the liquidation of the Company,</w:t>
      </w:r>
    </w:p>
    <w:p>
      <w:pPr>
        <w:spacing w:after="0" w:line="1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and the order or decree remains unstayed and in effect for 60 days; or</w:t>
      </w:r>
    </w:p>
    <w:p>
      <w:pPr>
        <w:spacing w:after="0" w:line="155" w:lineRule="exact"/>
        <w:rPr>
          <w:sz w:val="20"/>
          <w:szCs w:val="20"/>
          <w:color w:val="auto"/>
        </w:rPr>
      </w:pPr>
    </w:p>
    <w:p>
      <w:pPr>
        <w:ind w:left="500" w:firstLine="487"/>
        <w:spacing w:after="0" w:line="253" w:lineRule="auto"/>
        <w:tabs>
          <w:tab w:leader="none" w:pos="1526"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Event of Default provided with respect to Securities of that Series, which is specified in a Board Resolution, a supplemental indenture hereto or an Officer’s Certificate, in accordance with Section 2.2.18.</w:t>
      </w:r>
    </w:p>
    <w:p>
      <w:pPr>
        <w:spacing w:after="0" w:line="123" w:lineRule="exact"/>
        <w:rPr>
          <w:sz w:val="20"/>
          <w:szCs w:val="20"/>
          <w:color w:val="auto"/>
        </w:rPr>
      </w:pPr>
    </w:p>
    <w:p>
      <w:pPr>
        <w:ind w:right="140" w:firstLine="985"/>
        <w:spacing w:after="0" w:line="281" w:lineRule="auto"/>
        <w:rPr>
          <w:sz w:val="20"/>
          <w:szCs w:val="20"/>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i w:val="1"/>
          <w:iCs w:val="1"/>
          <w:color w:val="auto"/>
        </w:rPr>
        <w:t>Bankruptcy Law</w:t>
      </w:r>
      <w:r>
        <w:rPr>
          <w:rFonts w:ascii="Times New Roman" w:cs="Times New Roman" w:eastAsia="Times New Roman" w:hAnsi="Times New Roman"/>
          <w:sz w:val="16"/>
          <w:szCs w:val="16"/>
          <w:color w:val="auto"/>
        </w:rPr>
        <w:t>” means title 11, U.S. Code or any similar Federal or State law for the relief of debtors and, with respect to the Company, the Companies Act (As Revised) of the Cayman Islands or any similar law of the Cayman Islands for the relief of debtors. The term “</w:t>
      </w:r>
      <w:r>
        <w:rPr>
          <w:rFonts w:ascii="Times New Roman" w:cs="Times New Roman" w:eastAsia="Times New Roman" w:hAnsi="Times New Roman"/>
          <w:sz w:val="16"/>
          <w:szCs w:val="16"/>
          <w:i w:val="1"/>
          <w:iCs w:val="1"/>
          <w:color w:val="auto"/>
        </w:rPr>
        <w:t>Custodian</w:t>
      </w:r>
      <w:r>
        <w:rPr>
          <w:rFonts w:ascii="Times New Roman" w:cs="Times New Roman" w:eastAsia="Times New Roman" w:hAnsi="Times New Roman"/>
          <w:sz w:val="16"/>
          <w:szCs w:val="16"/>
          <w:color w:val="auto"/>
        </w:rPr>
        <w:t>” means any receiver, trustee, assignee, liquidator, provisional liquidator or similar official under any Bankruptcy Law.</w:t>
      </w:r>
    </w:p>
    <w:p>
      <w:pPr>
        <w:spacing w:after="0" w:line="115" w:lineRule="exact"/>
        <w:rPr>
          <w:sz w:val="20"/>
          <w:szCs w:val="20"/>
          <w:color w:val="auto"/>
        </w:rPr>
      </w:pPr>
    </w:p>
    <w:p>
      <w:pPr>
        <w:jc w:val="both"/>
        <w:ind w:right="500" w:firstLine="985"/>
        <w:spacing w:after="0" w:line="273" w:lineRule="auto"/>
        <w:rPr>
          <w:sz w:val="20"/>
          <w:szCs w:val="20"/>
          <w:color w:val="auto"/>
        </w:rPr>
      </w:pPr>
      <w:r>
        <w:rPr>
          <w:rFonts w:ascii="Times New Roman" w:cs="Times New Roman" w:eastAsia="Times New Roman" w:hAnsi="Times New Roman"/>
          <w:sz w:val="16"/>
          <w:szCs w:val="16"/>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00"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6.2.</w:t>
      </w:r>
      <w:r>
        <w:rPr>
          <w:sz w:val="20"/>
          <w:szCs w:val="20"/>
          <w:color w:val="auto"/>
        </w:rPr>
        <w:tab/>
      </w:r>
      <w:r>
        <w:rPr>
          <w:rFonts w:ascii="Times New Roman" w:cs="Times New Roman" w:eastAsia="Times New Roman" w:hAnsi="Times New Roman"/>
          <w:sz w:val="16"/>
          <w:szCs w:val="16"/>
          <w:u w:val="single" w:color="auto"/>
          <w:color w:val="auto"/>
        </w:rPr>
        <w:t>Acceleration of Maturity; Rescission and Annulment</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20" w:firstLine="985"/>
        <w:spacing w:after="0" w:line="263" w:lineRule="auto"/>
        <w:rPr>
          <w:sz w:val="20"/>
          <w:szCs w:val="20"/>
          <w:color w:val="auto"/>
        </w:rPr>
      </w:pPr>
      <w:r>
        <w:rPr>
          <w:rFonts w:ascii="Times New Roman" w:cs="Times New Roman" w:eastAsia="Times New Roman" w:hAnsi="Times New Roman"/>
          <w:sz w:val="16"/>
          <w:szCs w:val="16"/>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cs="Times New Roman" w:eastAsia="Times New Roman" w:hAnsi="Times New Roman"/>
          <w:sz w:val="16"/>
          <w:szCs w:val="16"/>
          <w:i w:val="1"/>
          <w:iCs w:val="1"/>
          <w:color w:val="auto"/>
        </w:rPr>
        <w:t>ipso facto</w:t>
      </w:r>
      <w:r>
        <w:rPr>
          <w:rFonts w:ascii="Times New Roman" w:cs="Times New Roman" w:eastAsia="Times New Roman" w:hAnsi="Times New Roman"/>
          <w:sz w:val="16"/>
          <w:szCs w:val="16"/>
          <w:color w:val="auto"/>
        </w:rPr>
        <w:t xml:space="preserve"> become and be immediately due and payable without any declaration or other act on the part of the Trustee or any Holder.</w:t>
      </w:r>
    </w:p>
    <w:p>
      <w:pPr>
        <w:spacing w:after="0" w:line="138" w:lineRule="exact"/>
        <w:rPr>
          <w:sz w:val="20"/>
          <w:szCs w:val="20"/>
          <w:color w:val="auto"/>
        </w:rPr>
      </w:pPr>
    </w:p>
    <w:p>
      <w:pPr>
        <w:jc w:val="both"/>
        <w:ind w:firstLine="985"/>
        <w:spacing w:after="0" w:line="273" w:lineRule="auto"/>
        <w:rPr>
          <w:sz w:val="20"/>
          <w:szCs w:val="20"/>
          <w:color w:val="auto"/>
        </w:rPr>
      </w:pPr>
      <w:r>
        <w:rPr>
          <w:rFonts w:ascii="Times New Roman" w:cs="Times New Roman" w:eastAsia="Times New Roman" w:hAnsi="Times New Roman"/>
          <w:sz w:val="16"/>
          <w:szCs w:val="16"/>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280"/>
          </w:cols>
          <w:pgMar w:left="300" w:top="1093" w:right="319" w:bottom="1440" w:gutter="0" w:footer="0" w:header="0"/>
        </w:sectPr>
      </w:pPr>
    </w:p>
    <w:bookmarkStart w:id="127" w:name="page128"/>
    <w:bookmarkEnd w:id="127"/>
    <w:p>
      <w:pPr>
        <w:spacing w:after="0" w:line="293" w:lineRule="auto"/>
        <w:rPr>
          <w:sz w:val="20"/>
          <w:szCs w:val="20"/>
          <w:color w:val="auto"/>
        </w:rPr>
      </w:pPr>
      <w:r>
        <w:rPr>
          <w:rFonts w:ascii="Times New Roman" w:cs="Times New Roman" w:eastAsia="Times New Roman" w:hAnsi="Times New Roman"/>
          <w:sz w:val="16"/>
          <w:szCs w:val="16"/>
          <w:color w:val="auto"/>
        </w:rPr>
        <w:t>to Securities of that Series, other than the non-payment of the principal and interest, if any, of Securities of that Series which have become due solely by such declaration of acceleration, have been cured or waived as provided in Section 6.13.</w:t>
      </w:r>
    </w:p>
    <w:p>
      <w:pPr>
        <w:spacing w:after="0" w:line="1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No such rescission shall affect any subsequent Default or impair any right consequent thereon.</w:t>
      </w:r>
    </w:p>
    <w:p>
      <w:pPr>
        <w:spacing w:after="0" w:line="165"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6.3.</w:t>
      </w:r>
      <w:r>
        <w:rPr>
          <w:sz w:val="20"/>
          <w:szCs w:val="20"/>
          <w:color w:val="auto"/>
        </w:rPr>
        <w:tab/>
      </w:r>
      <w:r>
        <w:rPr>
          <w:rFonts w:ascii="Times New Roman" w:cs="Times New Roman" w:eastAsia="Times New Roman" w:hAnsi="Times New Roman"/>
          <w:sz w:val="16"/>
          <w:szCs w:val="16"/>
          <w:u w:val="single" w:color="auto"/>
          <w:color w:val="auto"/>
        </w:rPr>
        <w:t>Collection of Indebtedness and Suits for Enforcement by Trustee</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The Company covenants that if:</w:t>
      </w:r>
    </w:p>
    <w:p>
      <w:pPr>
        <w:spacing w:after="0" w:line="153" w:lineRule="exact"/>
        <w:rPr>
          <w:sz w:val="20"/>
          <w:szCs w:val="20"/>
          <w:color w:val="auto"/>
        </w:rPr>
      </w:pPr>
    </w:p>
    <w:p>
      <w:pPr>
        <w:ind w:left="1480" w:hanging="493"/>
        <w:spacing w:after="0"/>
        <w:tabs>
          <w:tab w:leader="none" w:pos="148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is made in the payment of any interest on any Security when such interest becomes due and payable and such default continues for a period</w:t>
      </w:r>
    </w:p>
    <w:p>
      <w:pPr>
        <w:ind w:left="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30 days,</w:t>
      </w:r>
    </w:p>
    <w:p>
      <w:pPr>
        <w:spacing w:after="0" w:line="126"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is made in the payment of principal of any Security at the Maturity thereof, or</w:t>
      </w:r>
    </w:p>
    <w:p>
      <w:pPr>
        <w:spacing w:after="0" w:line="14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is made in the deposit of any sinking fund payment, if any, when and as due by the terms of a Security,</w:t>
      </w:r>
    </w:p>
    <w:p>
      <w:pPr>
        <w:spacing w:after="0" w:line="16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then, </w:t>
      </w:r>
      <w:r>
        <w:rPr>
          <w:rFonts w:ascii="Times New Roman" w:cs="Times New Roman" w:eastAsia="Times New Roman" w:hAnsi="Times New Roman"/>
          <w:sz w:val="16"/>
          <w:szCs w:val="16"/>
          <w:color w:val="auto"/>
        </w:rPr>
        <w:t>the Company will, upon demand of the Trustee, pay to it, for the benefit of the Holders of such Securities, the whole amount then due and payable on such Securities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34" w:lineRule="exact"/>
        <w:rPr>
          <w:sz w:val="20"/>
          <w:szCs w:val="20"/>
          <w:color w:val="auto"/>
        </w:rPr>
      </w:pPr>
    </w:p>
    <w:p>
      <w:pPr>
        <w:ind w:right="320" w:firstLine="985"/>
        <w:spacing w:after="0" w:line="267" w:lineRule="auto"/>
        <w:rPr>
          <w:sz w:val="20"/>
          <w:szCs w:val="20"/>
          <w:color w:val="auto"/>
        </w:rPr>
      </w:pPr>
      <w:r>
        <w:rPr>
          <w:rFonts w:ascii="Times New Roman" w:cs="Times New Roman" w:eastAsia="Times New Roman" w:hAnsi="Times New Roman"/>
          <w:sz w:val="16"/>
          <w:szCs w:val="16"/>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25" w:lineRule="exact"/>
        <w:rPr>
          <w:sz w:val="20"/>
          <w:szCs w:val="20"/>
          <w:color w:val="auto"/>
        </w:rPr>
      </w:pPr>
    </w:p>
    <w:p>
      <w:pPr>
        <w:jc w:val="both"/>
        <w:ind w:right="100" w:firstLine="985"/>
        <w:spacing w:after="0" w:line="271" w:lineRule="auto"/>
        <w:rPr>
          <w:sz w:val="20"/>
          <w:szCs w:val="20"/>
          <w:color w:val="auto"/>
        </w:rPr>
      </w:pPr>
      <w:r>
        <w:rPr>
          <w:rFonts w:ascii="Times New Roman" w:cs="Times New Roman" w:eastAsia="Times New Roman" w:hAnsi="Times New Roman"/>
          <w:sz w:val="16"/>
          <w:szCs w:val="16"/>
          <w:color w:val="auto"/>
        </w:rPr>
        <w:t>If an Event of Default with respect to any Securities of any Series occurs and is continuing, the Trustee, subject to Article VII hereof,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02"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6.4.</w:t>
      </w:r>
      <w:r>
        <w:rPr>
          <w:sz w:val="20"/>
          <w:szCs w:val="20"/>
          <w:color w:val="auto"/>
        </w:rPr>
        <w:tab/>
      </w:r>
      <w:r>
        <w:rPr>
          <w:rFonts w:ascii="Times New Roman" w:cs="Times New Roman" w:eastAsia="Times New Roman" w:hAnsi="Times New Roman"/>
          <w:sz w:val="16"/>
          <w:szCs w:val="16"/>
          <w:u w:val="single" w:color="auto"/>
          <w:color w:val="auto"/>
        </w:rPr>
        <w:t>Trustee May File Proofs of Claim</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340" w:firstLine="985"/>
        <w:spacing w:after="0" w:line="293" w:lineRule="auto"/>
        <w:rPr>
          <w:sz w:val="20"/>
          <w:szCs w:val="20"/>
          <w:color w:val="auto"/>
        </w:rPr>
      </w:pPr>
      <w:r>
        <w:rPr>
          <w:rFonts w:ascii="Times New Roman" w:cs="Times New Roman" w:eastAsia="Times New Roman" w:hAnsi="Times New Roman"/>
          <w:sz w:val="16"/>
          <w:szCs w:val="16"/>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280"/>
          </w:cols>
          <w:pgMar w:left="300" w:top="1114" w:right="319" w:bottom="1440" w:gutter="0" w:footer="0" w:header="0"/>
        </w:sectPr>
      </w:pPr>
    </w:p>
    <w:bookmarkStart w:id="128" w:name="page129"/>
    <w:bookmarkEnd w:id="128"/>
    <w:p>
      <w:pPr>
        <w:ind w:right="220"/>
        <w:spacing w:after="0" w:line="273" w:lineRule="auto"/>
        <w:rPr>
          <w:sz w:val="20"/>
          <w:szCs w:val="20"/>
          <w:color w:val="auto"/>
        </w:rPr>
      </w:pPr>
      <w:r>
        <w:rPr>
          <w:rFonts w:ascii="Times New Roman" w:cs="Times New Roman" w:eastAsia="Times New Roman" w:hAnsi="Times New Roman"/>
          <w:sz w:val="16"/>
          <w:szCs w:val="16"/>
          <w:color w:val="auto"/>
        </w:rPr>
        <w:t>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11" w:lineRule="exact"/>
        <w:rPr>
          <w:sz w:val="20"/>
          <w:szCs w:val="20"/>
          <w:color w:val="auto"/>
        </w:rPr>
      </w:pPr>
    </w:p>
    <w:p>
      <w:pPr>
        <w:jc w:val="both"/>
        <w:ind w:left="500" w:firstLine="487"/>
        <w:spacing w:after="0" w:line="235" w:lineRule="auto"/>
        <w:tabs>
          <w:tab w:leader="none" w:pos="1482"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16"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collect and receive any moneys or other property payable or deliverable on any such claims and to distribute the same,</w:t>
      </w:r>
    </w:p>
    <w:p>
      <w:pPr>
        <w:spacing w:after="0" w:line="16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21" w:lineRule="exact"/>
        <w:rPr>
          <w:sz w:val="20"/>
          <w:szCs w:val="20"/>
          <w:color w:val="auto"/>
        </w:rPr>
      </w:pPr>
    </w:p>
    <w:p>
      <w:pPr>
        <w:ind w:firstLine="985"/>
        <w:spacing w:after="0" w:line="280" w:lineRule="auto"/>
        <w:rPr>
          <w:sz w:val="20"/>
          <w:szCs w:val="20"/>
          <w:color w:val="auto"/>
        </w:rPr>
      </w:pPr>
      <w:r>
        <w:rPr>
          <w:rFonts w:ascii="Times New Roman" w:cs="Times New Roman" w:eastAsia="Times New Roman" w:hAnsi="Times New Roman"/>
          <w:sz w:val="16"/>
          <w:szCs w:val="16"/>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95"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6.5.</w:t>
      </w:r>
      <w:r>
        <w:rPr>
          <w:sz w:val="20"/>
          <w:szCs w:val="20"/>
          <w:color w:val="auto"/>
        </w:rPr>
        <w:tab/>
      </w:r>
      <w:r>
        <w:rPr>
          <w:rFonts w:ascii="Times New Roman" w:cs="Times New Roman" w:eastAsia="Times New Roman" w:hAnsi="Times New Roman"/>
          <w:sz w:val="16"/>
          <w:szCs w:val="16"/>
          <w:u w:val="single" w:color="auto"/>
          <w:color w:val="auto"/>
        </w:rPr>
        <w:t>Trustee May Enforce Claims Without Possession of Securities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20" w:firstLine="985"/>
        <w:spacing w:after="0" w:line="267" w:lineRule="auto"/>
        <w:rPr>
          <w:sz w:val="20"/>
          <w:szCs w:val="20"/>
          <w:color w:val="auto"/>
        </w:rPr>
      </w:pPr>
      <w:r>
        <w:rPr>
          <w:rFonts w:ascii="Times New Roman" w:cs="Times New Roman" w:eastAsia="Times New Roman" w:hAnsi="Times New Roman"/>
          <w:sz w:val="16"/>
          <w:szCs w:val="16"/>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0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6.6.</w:t>
      </w:r>
      <w:r>
        <w:rPr>
          <w:sz w:val="20"/>
          <w:szCs w:val="20"/>
          <w:color w:val="auto"/>
        </w:rPr>
        <w:tab/>
      </w:r>
      <w:r>
        <w:rPr>
          <w:rFonts w:ascii="Times New Roman" w:cs="Times New Roman" w:eastAsia="Times New Roman" w:hAnsi="Times New Roman"/>
          <w:sz w:val="16"/>
          <w:szCs w:val="16"/>
          <w:u w:val="single" w:color="auto"/>
          <w:color w:val="auto"/>
        </w:rPr>
        <w:t>Application of Money Collected.</w:t>
      </w:r>
    </w:p>
    <w:p>
      <w:pPr>
        <w:spacing w:after="0" w:line="165" w:lineRule="exact"/>
        <w:rPr>
          <w:sz w:val="20"/>
          <w:szCs w:val="20"/>
          <w:color w:val="auto"/>
        </w:rPr>
      </w:pPr>
    </w:p>
    <w:p>
      <w:pPr>
        <w:jc w:val="both"/>
        <w:ind w:right="60" w:firstLine="985"/>
        <w:spacing w:after="0" w:line="280" w:lineRule="auto"/>
        <w:rPr>
          <w:sz w:val="20"/>
          <w:szCs w:val="20"/>
          <w:color w:val="auto"/>
        </w:rPr>
      </w:pPr>
      <w:r>
        <w:rPr>
          <w:rFonts w:ascii="Times New Roman" w:cs="Times New Roman" w:eastAsia="Times New Roman" w:hAnsi="Times New Roman"/>
          <w:sz w:val="16"/>
          <w:szCs w:val="16"/>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15" w:lineRule="exact"/>
        <w:rPr>
          <w:sz w:val="20"/>
          <w:szCs w:val="20"/>
          <w:color w:val="auto"/>
        </w:rPr>
      </w:pPr>
    </w:p>
    <w:p>
      <w:pPr>
        <w:ind w:left="980"/>
        <w:spacing w:after="0"/>
        <w:tabs>
          <w:tab w:leader="none" w:pos="1480" w:val="left"/>
        </w:tabs>
        <w:rPr>
          <w:sz w:val="20"/>
          <w:szCs w:val="20"/>
          <w:color w:val="auto"/>
        </w:rPr>
      </w:pPr>
      <w:r>
        <w:rPr>
          <w:rFonts w:ascii="Times New Roman" w:cs="Times New Roman" w:eastAsia="Times New Roman" w:hAnsi="Times New Roman"/>
          <w:sz w:val="16"/>
          <w:szCs w:val="16"/>
          <w:color w:val="auto"/>
        </w:rPr>
        <w:t>First:</w:t>
        <w:tab/>
        <w:t>To the payment of all amounts due the Trustee under Section 7.7; and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280"/>
          </w:cols>
          <w:pgMar w:left="300" w:top="1114" w:right="319" w:bottom="1440" w:gutter="0" w:footer="0" w:header="0"/>
        </w:sectPr>
      </w:pPr>
    </w:p>
    <w:bookmarkStart w:id="129" w:name="page130"/>
    <w:bookmarkEnd w:id="129"/>
    <w:p>
      <w:pPr>
        <w:jc w:val="both"/>
        <w:ind w:right="120" w:firstLine="985"/>
        <w:spacing w:after="0" w:line="273" w:lineRule="auto"/>
        <w:rPr>
          <w:sz w:val="20"/>
          <w:szCs w:val="20"/>
          <w:color w:val="auto"/>
        </w:rPr>
      </w:pPr>
      <w:r>
        <w:rPr>
          <w:rFonts w:ascii="Times New Roman" w:cs="Times New Roman" w:eastAsia="Times New Roman" w:hAnsi="Times New Roman"/>
          <w:sz w:val="16"/>
          <w:szCs w:val="16"/>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31" w:lineRule="exact"/>
        <w:rPr>
          <w:sz w:val="20"/>
          <w:szCs w:val="20"/>
          <w:color w:val="auto"/>
        </w:rPr>
      </w:pPr>
    </w:p>
    <w:p>
      <w:pPr>
        <w:ind w:left="980"/>
        <w:spacing w:after="0"/>
        <w:tabs>
          <w:tab w:leader="none" w:pos="1540" w:val="left"/>
        </w:tabs>
        <w:rPr>
          <w:sz w:val="20"/>
          <w:szCs w:val="20"/>
          <w:color w:val="auto"/>
        </w:rPr>
      </w:pPr>
      <w:r>
        <w:rPr>
          <w:rFonts w:ascii="Times New Roman" w:cs="Times New Roman" w:eastAsia="Times New Roman" w:hAnsi="Times New Roman"/>
          <w:sz w:val="16"/>
          <w:szCs w:val="16"/>
          <w:color w:val="auto"/>
        </w:rPr>
        <w:t>Third:</w:t>
        <w:tab/>
        <w:t>To the Company.</w:t>
      </w:r>
    </w:p>
    <w:p>
      <w:pPr>
        <w:spacing w:after="0" w:line="155"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6.7.</w:t>
      </w:r>
      <w:r>
        <w:rPr>
          <w:sz w:val="20"/>
          <w:szCs w:val="20"/>
          <w:color w:val="auto"/>
        </w:rPr>
        <w:tab/>
      </w:r>
      <w:r>
        <w:rPr>
          <w:rFonts w:ascii="Times New Roman" w:cs="Times New Roman" w:eastAsia="Times New Roman" w:hAnsi="Times New Roman"/>
          <w:sz w:val="16"/>
          <w:szCs w:val="16"/>
          <w:u w:val="single" w:color="auto"/>
          <w:color w:val="auto"/>
        </w:rPr>
        <w:t>Limitation on Suits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420" w:firstLine="985"/>
        <w:spacing w:after="0" w:line="293" w:lineRule="auto"/>
        <w:rPr>
          <w:sz w:val="20"/>
          <w:szCs w:val="20"/>
          <w:color w:val="auto"/>
        </w:rPr>
      </w:pPr>
      <w:r>
        <w:rPr>
          <w:rFonts w:ascii="Times New Roman" w:cs="Times New Roman" w:eastAsia="Times New Roman" w:hAnsi="Times New Roman"/>
          <w:sz w:val="16"/>
          <w:szCs w:val="16"/>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84" w:lineRule="exact"/>
        <w:rPr>
          <w:sz w:val="20"/>
          <w:szCs w:val="20"/>
          <w:color w:val="auto"/>
        </w:rPr>
      </w:pPr>
    </w:p>
    <w:p>
      <w:pPr>
        <w:ind w:left="1480" w:hanging="493"/>
        <w:spacing w:after="0"/>
        <w:tabs>
          <w:tab w:leader="none" w:pos="14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 has previously given written notice to the Trustee of a continuing Event of Default with respect to the Securities of that Series;</w:t>
      </w:r>
    </w:p>
    <w:p>
      <w:pPr>
        <w:spacing w:after="0" w:line="144" w:lineRule="exact"/>
        <w:rPr>
          <w:rFonts w:ascii="Times New Roman" w:cs="Times New Roman" w:eastAsia="Times New Roman" w:hAnsi="Times New Roman"/>
          <w:sz w:val="16"/>
          <w:szCs w:val="16"/>
          <w:color w:val="auto"/>
        </w:rPr>
      </w:pPr>
    </w:p>
    <w:p>
      <w:pPr>
        <w:ind w:left="500" w:firstLine="487"/>
        <w:spacing w:after="0" w:line="253" w:lineRule="auto"/>
        <w:tabs>
          <w:tab w:leader="none" w:pos="1512"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04" w:lineRule="exact"/>
        <w:rPr>
          <w:rFonts w:ascii="Times New Roman" w:cs="Times New Roman" w:eastAsia="Times New Roman" w:hAnsi="Times New Roman"/>
          <w:sz w:val="16"/>
          <w:szCs w:val="16"/>
          <w:color w:val="auto"/>
        </w:rPr>
      </w:pPr>
    </w:p>
    <w:p>
      <w:pPr>
        <w:ind w:left="500" w:firstLine="487"/>
        <w:spacing w:after="0" w:line="253" w:lineRule="auto"/>
        <w:tabs>
          <w:tab w:leader="none" w:pos="1493"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 or Holders have offered to the Trustee indemnity or security satisfactory to the Trustee against the costs, expenses and liabilities which might be incurred by the Trustee in compliance with such request;</w:t>
      </w:r>
    </w:p>
    <w:p>
      <w:pPr>
        <w:spacing w:after="0" w:line="10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for 60 days after its receipt of such notice, request and offer of indemnity has failed to institute any such proceeding; and</w:t>
      </w:r>
    </w:p>
    <w:p>
      <w:pPr>
        <w:spacing w:after="0" w:line="144" w:lineRule="exact"/>
        <w:rPr>
          <w:rFonts w:ascii="Times New Roman" w:cs="Times New Roman" w:eastAsia="Times New Roman" w:hAnsi="Times New Roman"/>
          <w:sz w:val="16"/>
          <w:szCs w:val="16"/>
          <w:color w:val="auto"/>
        </w:rPr>
      </w:pPr>
    </w:p>
    <w:p>
      <w:pPr>
        <w:ind w:left="500" w:firstLine="487"/>
        <w:spacing w:after="0" w:line="253" w:lineRule="auto"/>
        <w:tabs>
          <w:tab w:leader="none" w:pos="1482"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direction inconsistent with such written request has been given to the Trustee during such 60-day period by the Holders of a majority in principal amount of the outstanding Securities of that Series;</w:t>
      </w:r>
    </w:p>
    <w:p>
      <w:pPr>
        <w:spacing w:after="0" w:line="12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02"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6.8.</w:t>
      </w:r>
      <w:r>
        <w:rPr>
          <w:sz w:val="20"/>
          <w:szCs w:val="20"/>
          <w:color w:val="auto"/>
        </w:rPr>
        <w:tab/>
      </w:r>
      <w:r>
        <w:rPr>
          <w:rFonts w:ascii="Times New Roman" w:cs="Times New Roman" w:eastAsia="Times New Roman" w:hAnsi="Times New Roman"/>
          <w:sz w:val="16"/>
          <w:szCs w:val="16"/>
          <w:u w:val="single" w:color="auto"/>
          <w:color w:val="auto"/>
        </w:rPr>
        <w:t>Unconditional Right of Holders to Receive Principal and Interest</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100" w:firstLine="985"/>
        <w:spacing w:after="0" w:line="270" w:lineRule="auto"/>
        <w:rPr>
          <w:sz w:val="20"/>
          <w:szCs w:val="20"/>
          <w:color w:val="auto"/>
        </w:rPr>
      </w:pPr>
      <w:r>
        <w:rPr>
          <w:rFonts w:ascii="Times New Roman" w:cs="Times New Roman" w:eastAsia="Times New Roman" w:hAnsi="Times New Roman"/>
          <w:sz w:val="16"/>
          <w:szCs w:val="16"/>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1280"/>
          </w:cols>
          <w:pgMar w:left="300" w:top="1114" w:right="319" w:bottom="1440" w:gutter="0" w:footer="0" w:header="0"/>
        </w:sectPr>
      </w:pPr>
    </w:p>
    <w:bookmarkStart w:id="130" w:name="page131"/>
    <w:bookmarkEnd w:id="130"/>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6.9.</w:t>
      </w:r>
      <w:r>
        <w:rPr>
          <w:sz w:val="20"/>
          <w:szCs w:val="20"/>
          <w:color w:val="auto"/>
        </w:rPr>
        <w:tab/>
      </w:r>
      <w:r>
        <w:rPr>
          <w:rFonts w:ascii="Times New Roman" w:cs="Times New Roman" w:eastAsia="Times New Roman" w:hAnsi="Times New Roman"/>
          <w:sz w:val="16"/>
          <w:szCs w:val="16"/>
          <w:u w:val="single" w:color="auto"/>
          <w:color w:val="auto"/>
        </w:rPr>
        <w:t>Restoration of Rights and Remedies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40" w:firstLine="985"/>
        <w:spacing w:after="0" w:line="271" w:lineRule="auto"/>
        <w:rPr>
          <w:sz w:val="20"/>
          <w:szCs w:val="20"/>
          <w:color w:val="auto"/>
        </w:rPr>
      </w:pPr>
      <w:r>
        <w:rPr>
          <w:rFonts w:ascii="Times New Roman" w:cs="Times New Roman" w:eastAsia="Times New Roman" w:hAnsi="Times New Roman"/>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02"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6.10.</w:t>
      </w:r>
      <w:r>
        <w:rPr>
          <w:sz w:val="20"/>
          <w:szCs w:val="20"/>
          <w:color w:val="auto"/>
        </w:rPr>
        <w:tab/>
      </w:r>
      <w:r>
        <w:rPr>
          <w:rFonts w:ascii="Times New Roman" w:cs="Times New Roman" w:eastAsia="Times New Roman" w:hAnsi="Times New Roman"/>
          <w:sz w:val="16"/>
          <w:szCs w:val="16"/>
          <w:u w:val="single" w:color="auto"/>
          <w:color w:val="auto"/>
        </w:rPr>
        <w:t>Rights and Remedies Cumulative</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firstLine="985"/>
        <w:spacing w:after="0" w:line="267" w:lineRule="auto"/>
        <w:rPr>
          <w:sz w:val="20"/>
          <w:szCs w:val="20"/>
          <w:color w:val="auto"/>
        </w:rPr>
      </w:pPr>
      <w:r>
        <w:rPr>
          <w:rFonts w:ascii="Times New Roman" w:cs="Times New Roman" w:eastAsia="Times New Roman" w:hAnsi="Times New Roman"/>
          <w:sz w:val="16"/>
          <w:szCs w:val="16"/>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05" w:lineRule="exact"/>
        <w:rPr>
          <w:sz w:val="20"/>
          <w:szCs w:val="20"/>
          <w:color w:val="auto"/>
        </w:rPr>
      </w:pPr>
    </w:p>
    <w:p>
      <w:pPr>
        <w:ind w:left="740"/>
        <w:spacing w:after="0"/>
        <w:tabs>
          <w:tab w:leader="none" w:pos="1940" w:val="left"/>
        </w:tabs>
        <w:rPr>
          <w:sz w:val="20"/>
          <w:szCs w:val="20"/>
          <w:color w:val="auto"/>
        </w:rPr>
      </w:pPr>
      <w:r>
        <w:rPr>
          <w:rFonts w:ascii="Times New Roman" w:cs="Times New Roman" w:eastAsia="Times New Roman" w:hAnsi="Times New Roman"/>
          <w:sz w:val="16"/>
          <w:szCs w:val="16"/>
          <w:color w:val="auto"/>
        </w:rPr>
        <w:t>Section 6.11.</w:t>
      </w:r>
      <w:r>
        <w:rPr>
          <w:sz w:val="20"/>
          <w:szCs w:val="20"/>
          <w:color w:val="auto"/>
        </w:rPr>
        <w:tab/>
      </w:r>
      <w:r>
        <w:rPr>
          <w:rFonts w:ascii="Times New Roman" w:cs="Times New Roman" w:eastAsia="Times New Roman" w:hAnsi="Times New Roman"/>
          <w:sz w:val="16"/>
          <w:szCs w:val="16"/>
          <w:u w:val="single" w:color="auto"/>
          <w:color w:val="auto"/>
        </w:rPr>
        <w:t>Delay or Omission Not Waiver</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right="80" w:firstLine="985"/>
        <w:spacing w:after="0" w:line="273" w:lineRule="auto"/>
        <w:rPr>
          <w:sz w:val="20"/>
          <w:szCs w:val="20"/>
          <w:color w:val="auto"/>
        </w:rPr>
      </w:pPr>
      <w:r>
        <w:rPr>
          <w:rFonts w:ascii="Times New Roman" w:cs="Times New Roman" w:eastAsia="Times New Roman" w:hAnsi="Times New Roman"/>
          <w:sz w:val="16"/>
          <w:szCs w:val="16"/>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00"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6.12.</w:t>
      </w:r>
      <w:r>
        <w:rPr>
          <w:sz w:val="20"/>
          <w:szCs w:val="20"/>
          <w:color w:val="auto"/>
        </w:rPr>
        <w:tab/>
      </w:r>
      <w:r>
        <w:rPr>
          <w:rFonts w:ascii="Times New Roman" w:cs="Times New Roman" w:eastAsia="Times New Roman" w:hAnsi="Times New Roman"/>
          <w:sz w:val="16"/>
          <w:szCs w:val="16"/>
          <w:u w:val="single" w:color="auto"/>
          <w:color w:val="auto"/>
        </w:rPr>
        <w:t>Control by Holders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80" w:firstLine="985"/>
        <w:spacing w:after="0" w:line="280" w:lineRule="auto"/>
        <w:rPr>
          <w:sz w:val="20"/>
          <w:szCs w:val="20"/>
          <w:color w:val="auto"/>
        </w:rPr>
      </w:pPr>
      <w:r>
        <w:rPr>
          <w:rFonts w:ascii="Times New Roman" w:cs="Times New Roman" w:eastAsia="Times New Roman" w:hAnsi="Times New Roman"/>
          <w:sz w:val="16"/>
          <w:szCs w:val="16"/>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95" w:lineRule="exact"/>
        <w:rPr>
          <w:sz w:val="20"/>
          <w:szCs w:val="20"/>
          <w:color w:val="auto"/>
        </w:rPr>
      </w:pPr>
    </w:p>
    <w:p>
      <w:pPr>
        <w:ind w:left="1480" w:hanging="493"/>
        <w:spacing w:after="0"/>
        <w:tabs>
          <w:tab w:leader="none" w:pos="148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direction shall not be in conflict with any rule of law or with this Indenture,</w:t>
      </w:r>
    </w:p>
    <w:p>
      <w:pPr>
        <w:spacing w:after="0" w:line="14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take any other action deemed proper by the Trustee which is not inconsistent with such direction,</w:t>
      </w:r>
    </w:p>
    <w:p>
      <w:pPr>
        <w:spacing w:after="0" w:line="144" w:lineRule="exact"/>
        <w:rPr>
          <w:rFonts w:ascii="Times New Roman" w:cs="Times New Roman" w:eastAsia="Times New Roman" w:hAnsi="Times New Roman"/>
          <w:sz w:val="16"/>
          <w:szCs w:val="16"/>
          <w:color w:val="auto"/>
        </w:rPr>
      </w:pPr>
    </w:p>
    <w:p>
      <w:pPr>
        <w:ind w:left="500" w:firstLine="487"/>
        <w:spacing w:after="0" w:line="253" w:lineRule="auto"/>
        <w:tabs>
          <w:tab w:leader="none" w:pos="1482"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280"/>
          </w:cols>
          <w:pgMar w:left="300" w:top="1093" w:right="319" w:bottom="1440" w:gutter="0" w:footer="0" w:header="0"/>
        </w:sectPr>
      </w:pPr>
    </w:p>
    <w:bookmarkStart w:id="131" w:name="page132"/>
    <w:bookmarkEnd w:id="131"/>
    <w:p>
      <w:pPr>
        <w:ind w:left="500" w:firstLine="487"/>
        <w:spacing w:after="0" w:line="253" w:lineRule="auto"/>
        <w:tabs>
          <w:tab w:leader="none" w:pos="1502"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10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6.13.</w:t>
      </w:r>
      <w:r>
        <w:rPr>
          <w:sz w:val="20"/>
          <w:szCs w:val="20"/>
          <w:color w:val="auto"/>
        </w:rPr>
        <w:tab/>
      </w:r>
      <w:r>
        <w:rPr>
          <w:rFonts w:ascii="Times New Roman" w:cs="Times New Roman" w:eastAsia="Times New Roman" w:hAnsi="Times New Roman"/>
          <w:sz w:val="16"/>
          <w:szCs w:val="16"/>
          <w:u w:val="single" w:color="auto"/>
          <w:color w:val="auto"/>
        </w:rPr>
        <w:t>Waiver of Past Defaults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firstLine="985"/>
        <w:spacing w:after="0" w:line="264" w:lineRule="auto"/>
        <w:rPr>
          <w:sz w:val="20"/>
          <w:szCs w:val="20"/>
          <w:color w:val="auto"/>
        </w:rPr>
      </w:pPr>
      <w:r>
        <w:rPr>
          <w:rFonts w:ascii="Times New Roman" w:cs="Times New Roman" w:eastAsia="Times New Roman" w:hAnsi="Times New Roman"/>
          <w:sz w:val="16"/>
          <w:szCs w:val="16"/>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09"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6.14.</w:t>
      </w:r>
      <w:r>
        <w:rPr>
          <w:sz w:val="20"/>
          <w:szCs w:val="20"/>
          <w:color w:val="auto"/>
        </w:rPr>
        <w:tab/>
      </w:r>
      <w:r>
        <w:rPr>
          <w:rFonts w:ascii="Times New Roman" w:cs="Times New Roman" w:eastAsia="Times New Roman" w:hAnsi="Times New Roman"/>
          <w:sz w:val="16"/>
          <w:szCs w:val="16"/>
          <w:u w:val="single" w:color="auto"/>
          <w:color w:val="auto"/>
        </w:rPr>
        <w:t>Undertaking for Costs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40" w:firstLine="985"/>
        <w:spacing w:after="0" w:line="261" w:lineRule="auto"/>
        <w:rPr>
          <w:sz w:val="20"/>
          <w:szCs w:val="20"/>
          <w:color w:val="auto"/>
        </w:rPr>
      </w:pPr>
      <w:r>
        <w:rPr>
          <w:rFonts w:ascii="Times New Roman" w:cs="Times New Roman" w:eastAsia="Times New Roman" w:hAnsi="Times New Roman"/>
          <w:sz w:val="16"/>
          <w:szCs w:val="16"/>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43" w:lineRule="exact"/>
        <w:rPr>
          <w:sz w:val="20"/>
          <w:szCs w:val="20"/>
          <w:color w:val="auto"/>
        </w:rPr>
      </w:pPr>
    </w:p>
    <w:p>
      <w:pPr>
        <w:ind w:left="5040"/>
        <w:spacing w:after="0"/>
        <w:tabs>
          <w:tab w:leader="none" w:pos="6480" w:val="left"/>
        </w:tabs>
        <w:rPr>
          <w:sz w:val="20"/>
          <w:szCs w:val="20"/>
          <w:color w:val="auto"/>
        </w:rPr>
      </w:pPr>
      <w:r>
        <w:rPr>
          <w:rFonts w:ascii="Times New Roman" w:cs="Times New Roman" w:eastAsia="Times New Roman" w:hAnsi="Times New Roman"/>
          <w:sz w:val="16"/>
          <w:szCs w:val="16"/>
          <w:color w:val="auto"/>
        </w:rPr>
        <w:t>ARTICLE VII.</w:t>
      </w:r>
      <w:r>
        <w:rPr>
          <w:sz w:val="20"/>
          <w:szCs w:val="20"/>
          <w:color w:val="auto"/>
        </w:rPr>
        <w:tab/>
      </w:r>
      <w:r>
        <w:rPr>
          <w:rFonts w:ascii="Times New Roman" w:cs="Times New Roman" w:eastAsia="Times New Roman" w:hAnsi="Times New Roman"/>
          <w:sz w:val="16"/>
          <w:szCs w:val="16"/>
          <w:color w:val="auto"/>
        </w:rPr>
        <w:t>TRUSTEE</w:t>
      </w:r>
    </w:p>
    <w:p>
      <w:pPr>
        <w:spacing w:after="0" w:line="155"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7.1.</w:t>
      </w:r>
      <w:r>
        <w:rPr>
          <w:sz w:val="20"/>
          <w:szCs w:val="20"/>
          <w:color w:val="auto"/>
        </w:rPr>
        <w:tab/>
      </w:r>
      <w:r>
        <w:rPr>
          <w:rFonts w:ascii="Times New Roman" w:cs="Times New Roman" w:eastAsia="Times New Roman" w:hAnsi="Times New Roman"/>
          <w:sz w:val="16"/>
          <w:szCs w:val="16"/>
          <w:u w:val="single" w:color="auto"/>
          <w:color w:val="auto"/>
        </w:rPr>
        <w:t>Duties of Trustee</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left="500" w:firstLine="487"/>
        <w:spacing w:after="0" w:line="253" w:lineRule="auto"/>
        <w:tabs>
          <w:tab w:leader="none" w:pos="1482"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0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during the continuance of an Event of Default:</w:t>
      </w:r>
    </w:p>
    <w:p>
      <w:pPr>
        <w:spacing w:after="0" w:line="144" w:lineRule="exact"/>
        <w:rPr>
          <w:rFonts w:ascii="Times New Roman" w:cs="Times New Roman" w:eastAsia="Times New Roman" w:hAnsi="Times New Roman"/>
          <w:sz w:val="16"/>
          <w:szCs w:val="16"/>
          <w:color w:val="auto"/>
        </w:rPr>
      </w:pPr>
    </w:p>
    <w:p>
      <w:pPr>
        <w:ind w:left="980" w:firstLine="499"/>
        <w:spacing w:after="0" w:line="253" w:lineRule="auto"/>
        <w:tabs>
          <w:tab w:leader="none" w:pos="1956"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need perform only those duties that are specifically set forth in this Indenture and no others, and no implied covenants or obligations will be read into this Indenture against the Trustee.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1280"/>
          </w:cols>
          <w:pgMar w:left="300" w:top="1093" w:right="319" w:bottom="1440" w:gutter="0" w:footer="0" w:header="0"/>
        </w:sectPr>
      </w:pPr>
    </w:p>
    <w:bookmarkStart w:id="132" w:name="page133"/>
    <w:bookmarkEnd w:id="132"/>
    <w:p>
      <w:pPr>
        <w:jc w:val="both"/>
        <w:ind w:left="480" w:firstLine="499"/>
        <w:spacing w:after="0"/>
        <w:tabs>
          <w:tab w:leader="none" w:pos="1460"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248" w:lineRule="exact"/>
        <w:rPr>
          <w:rFonts w:ascii="Times New Roman" w:cs="Times New Roman" w:eastAsia="Times New Roman" w:hAnsi="Times New Roman"/>
          <w:sz w:val="16"/>
          <w:szCs w:val="16"/>
          <w:color w:val="auto"/>
        </w:rPr>
      </w:pPr>
    </w:p>
    <w:p>
      <w:pPr>
        <w:ind w:left="980" w:hanging="493"/>
        <w:spacing w:after="0"/>
        <w:tabs>
          <w:tab w:leader="none" w:pos="98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not be relieved from liability for its own negligent action, its own negligent failure to act or its own willful misconduct, except that:</w:t>
      </w:r>
    </w:p>
    <w:p>
      <w:pPr>
        <w:spacing w:after="0" w:line="144" w:lineRule="exact"/>
        <w:rPr>
          <w:rFonts w:ascii="Times New Roman" w:cs="Times New Roman" w:eastAsia="Times New Roman" w:hAnsi="Times New Roman"/>
          <w:sz w:val="16"/>
          <w:szCs w:val="16"/>
          <w:color w:val="auto"/>
        </w:rPr>
      </w:pPr>
    </w:p>
    <w:p>
      <w:pPr>
        <w:ind w:left="1460" w:hanging="481"/>
        <w:spacing w:after="0"/>
        <w:tabs>
          <w:tab w:leader="none" w:pos="1460"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paragraph does not limit the effect of paragraph (b) of this Section.</w:t>
      </w:r>
    </w:p>
    <w:p>
      <w:pPr>
        <w:spacing w:after="0" w:line="144" w:lineRule="exact"/>
        <w:rPr>
          <w:sz w:val="20"/>
          <w:szCs w:val="20"/>
          <w:color w:val="auto"/>
        </w:rPr>
      </w:pPr>
    </w:p>
    <w:p>
      <w:pPr>
        <w:ind w:left="480" w:firstLine="499"/>
        <w:spacing w:after="0" w:line="253" w:lineRule="auto"/>
        <w:tabs>
          <w:tab w:leader="none" w:pos="1460"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any error of judgment made in good faith by a Responsible Officer, unless it is proved that the Trustee was negligent in ascertaining the pertinent facts.</w:t>
      </w:r>
    </w:p>
    <w:p>
      <w:pPr>
        <w:spacing w:after="0" w:line="104" w:lineRule="exact"/>
        <w:rPr>
          <w:rFonts w:ascii="Times New Roman" w:cs="Times New Roman" w:eastAsia="Times New Roman" w:hAnsi="Times New Roman"/>
          <w:sz w:val="16"/>
          <w:szCs w:val="16"/>
          <w:color w:val="auto"/>
        </w:rPr>
      </w:pPr>
    </w:p>
    <w:p>
      <w:pPr>
        <w:jc w:val="both"/>
        <w:ind w:left="480" w:firstLine="499"/>
        <w:spacing w:after="0" w:line="230" w:lineRule="auto"/>
        <w:tabs>
          <w:tab w:leader="none" w:pos="1465"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15" w:lineRule="exact"/>
        <w:rPr>
          <w:rFonts w:ascii="Times New Roman" w:cs="Times New Roman" w:eastAsia="Times New Roman" w:hAnsi="Times New Roman"/>
          <w:sz w:val="16"/>
          <w:szCs w:val="16"/>
          <w:color w:val="auto"/>
        </w:rPr>
      </w:pPr>
    </w:p>
    <w:p>
      <w:pPr>
        <w:ind w:left="980" w:hanging="493"/>
        <w:spacing w:after="0"/>
        <w:tabs>
          <w:tab w:leader="none" w:pos="98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Every provision of this Indenture that in any way relates to the Trustee is subject to paragraph (a), (b) and (c) of this Section.</w:t>
      </w:r>
    </w:p>
    <w:p>
      <w:pPr>
        <w:spacing w:after="0" w:line="144" w:lineRule="exact"/>
        <w:rPr>
          <w:rFonts w:ascii="Times New Roman" w:cs="Times New Roman" w:eastAsia="Times New Roman" w:hAnsi="Times New Roman"/>
          <w:sz w:val="16"/>
          <w:szCs w:val="16"/>
          <w:color w:val="auto"/>
        </w:rPr>
      </w:pPr>
    </w:p>
    <w:p>
      <w:pPr>
        <w:ind w:firstLine="487"/>
        <w:spacing w:after="0" w:line="253" w:lineRule="auto"/>
        <w:tabs>
          <w:tab w:leader="none" w:pos="993"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104" w:lineRule="exact"/>
        <w:rPr>
          <w:rFonts w:ascii="Times New Roman" w:cs="Times New Roman" w:eastAsia="Times New Roman" w:hAnsi="Times New Roman"/>
          <w:sz w:val="16"/>
          <w:szCs w:val="16"/>
          <w:color w:val="auto"/>
        </w:rPr>
      </w:pPr>
    </w:p>
    <w:p>
      <w:pPr>
        <w:ind w:firstLine="487"/>
        <w:spacing w:after="0" w:line="253" w:lineRule="auto"/>
        <w:tabs>
          <w:tab w:leader="none" w:pos="985"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04" w:lineRule="exact"/>
        <w:rPr>
          <w:rFonts w:ascii="Times New Roman" w:cs="Times New Roman" w:eastAsia="Times New Roman" w:hAnsi="Times New Roman"/>
          <w:sz w:val="16"/>
          <w:szCs w:val="16"/>
          <w:color w:val="auto"/>
        </w:rPr>
      </w:pPr>
    </w:p>
    <w:p>
      <w:pPr>
        <w:ind w:firstLine="487"/>
        <w:spacing w:after="0" w:line="253" w:lineRule="auto"/>
        <w:tabs>
          <w:tab w:leader="none" w:pos="981"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104" w:lineRule="exact"/>
        <w:rPr>
          <w:rFonts w:ascii="Times New Roman" w:cs="Times New Roman" w:eastAsia="Times New Roman" w:hAnsi="Times New Roman"/>
          <w:sz w:val="16"/>
          <w:szCs w:val="16"/>
          <w:color w:val="auto"/>
        </w:rPr>
      </w:pPr>
    </w:p>
    <w:p>
      <w:pPr>
        <w:ind w:firstLine="487"/>
        <w:spacing w:after="0" w:line="253" w:lineRule="auto"/>
        <w:tabs>
          <w:tab w:leader="none" w:pos="1012"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Paying Agent, the Notice Agent, the Registrar, any authenticating agent and the Trustee when acting in any other capacity hereunder shall be entitled to the protections and immunities as are set forth in this Article VII.</w:t>
      </w:r>
    </w:p>
    <w:p>
      <w:pPr>
        <w:spacing w:after="0" w:line="104" w:lineRule="exact"/>
        <w:rPr>
          <w:rFonts w:ascii="Times New Roman" w:cs="Times New Roman" w:eastAsia="Times New Roman" w:hAnsi="Times New Roman"/>
          <w:sz w:val="16"/>
          <w:szCs w:val="16"/>
          <w:color w:val="auto"/>
        </w:rPr>
      </w:pPr>
    </w:p>
    <w:p>
      <w:pPr>
        <w:ind w:firstLine="487"/>
        <w:spacing w:after="0" w:line="253" w:lineRule="auto"/>
        <w:tabs>
          <w:tab w:leader="none" w:pos="1006"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privileges, protections, immunities and benefits given to the Trustee, including its right to be indemnified, are extended to, and will be enforceable by, the Trustee in each of its capacities under this Indenture.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0780"/>
          </w:cols>
          <w:pgMar w:left="800" w:top="1093" w:right="319" w:bottom="1440" w:gutter="0" w:footer="0" w:header="0"/>
        </w:sectPr>
      </w:pPr>
    </w:p>
    <w:bookmarkStart w:id="133" w:name="page134"/>
    <w:bookmarkEnd w:id="133"/>
    <w:p>
      <w:pPr>
        <w:ind w:left="240"/>
        <w:spacing w:after="0"/>
        <w:tabs>
          <w:tab w:leader="none" w:pos="1460" w:val="left"/>
        </w:tabs>
        <w:rPr>
          <w:sz w:val="20"/>
          <w:szCs w:val="20"/>
          <w:color w:val="auto"/>
        </w:rPr>
      </w:pPr>
      <w:r>
        <w:rPr>
          <w:rFonts w:ascii="Times New Roman" w:cs="Times New Roman" w:eastAsia="Times New Roman" w:hAnsi="Times New Roman"/>
          <w:sz w:val="16"/>
          <w:szCs w:val="16"/>
          <w:color w:val="auto"/>
        </w:rPr>
        <w:t>Section 7.2.</w:t>
      </w:r>
      <w:r>
        <w:rPr>
          <w:sz w:val="20"/>
          <w:szCs w:val="20"/>
          <w:color w:val="auto"/>
        </w:rPr>
        <w:tab/>
      </w:r>
      <w:r>
        <w:rPr>
          <w:rFonts w:ascii="Times New Roman" w:cs="Times New Roman" w:eastAsia="Times New Roman" w:hAnsi="Times New Roman"/>
          <w:sz w:val="16"/>
          <w:szCs w:val="16"/>
          <w:u w:val="single" w:color="auto"/>
          <w:color w:val="auto"/>
        </w:rPr>
        <w:t>Rights of Trustee</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firstLine="487"/>
        <w:spacing w:after="0" w:line="253" w:lineRule="auto"/>
        <w:tabs>
          <w:tab w:leader="none" w:pos="1013"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04" w:lineRule="exact"/>
        <w:rPr>
          <w:rFonts w:ascii="Times New Roman" w:cs="Times New Roman" w:eastAsia="Times New Roman" w:hAnsi="Times New Roman"/>
          <w:sz w:val="16"/>
          <w:szCs w:val="16"/>
          <w:color w:val="auto"/>
        </w:rPr>
      </w:pPr>
    </w:p>
    <w:p>
      <w:pPr>
        <w:ind w:firstLine="487"/>
        <w:spacing w:after="0" w:line="253" w:lineRule="auto"/>
        <w:tabs>
          <w:tab w:leader="none" w:pos="1012"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04" w:lineRule="exact"/>
        <w:rPr>
          <w:rFonts w:ascii="Times New Roman" w:cs="Times New Roman" w:eastAsia="Times New Roman" w:hAnsi="Times New Roman"/>
          <w:sz w:val="16"/>
          <w:szCs w:val="16"/>
          <w:color w:val="auto"/>
        </w:rPr>
      </w:pPr>
    </w:p>
    <w:p>
      <w:pPr>
        <w:ind w:firstLine="487"/>
        <w:spacing w:after="0" w:line="253" w:lineRule="auto"/>
        <w:tabs>
          <w:tab w:leader="none" w:pos="1054"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04" w:lineRule="exact"/>
        <w:rPr>
          <w:rFonts w:ascii="Times New Roman" w:cs="Times New Roman" w:eastAsia="Times New Roman" w:hAnsi="Times New Roman"/>
          <w:sz w:val="16"/>
          <w:szCs w:val="16"/>
          <w:color w:val="auto"/>
        </w:rPr>
      </w:pPr>
    </w:p>
    <w:p>
      <w:pPr>
        <w:ind w:left="980" w:hanging="493"/>
        <w:spacing w:after="0"/>
        <w:tabs>
          <w:tab w:leader="none" w:pos="9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any action it takes or omits to take in good faith which it believes to be authorized or within its rights or powers.</w:t>
      </w:r>
    </w:p>
    <w:p>
      <w:pPr>
        <w:spacing w:after="0" w:line="144" w:lineRule="exact"/>
        <w:rPr>
          <w:rFonts w:ascii="Times New Roman" w:cs="Times New Roman" w:eastAsia="Times New Roman" w:hAnsi="Times New Roman"/>
          <w:sz w:val="16"/>
          <w:szCs w:val="16"/>
          <w:color w:val="auto"/>
        </w:rPr>
      </w:pPr>
    </w:p>
    <w:p>
      <w:pPr>
        <w:ind w:firstLine="487"/>
        <w:spacing w:after="0" w:line="253" w:lineRule="auto"/>
        <w:tabs>
          <w:tab w:leader="none" w:pos="1044"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104" w:lineRule="exact"/>
        <w:rPr>
          <w:rFonts w:ascii="Times New Roman" w:cs="Times New Roman" w:eastAsia="Times New Roman" w:hAnsi="Times New Roman"/>
          <w:sz w:val="16"/>
          <w:szCs w:val="16"/>
          <w:color w:val="auto"/>
        </w:rPr>
      </w:pPr>
    </w:p>
    <w:p>
      <w:pPr>
        <w:jc w:val="both"/>
        <w:ind w:firstLine="487"/>
        <w:spacing w:after="0" w:line="235" w:lineRule="auto"/>
        <w:tabs>
          <w:tab w:leader="none" w:pos="985"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116" w:lineRule="exact"/>
        <w:rPr>
          <w:rFonts w:ascii="Times New Roman" w:cs="Times New Roman" w:eastAsia="Times New Roman" w:hAnsi="Times New Roman"/>
          <w:sz w:val="16"/>
          <w:szCs w:val="16"/>
          <w:color w:val="auto"/>
        </w:rPr>
      </w:pPr>
    </w:p>
    <w:p>
      <w:pPr>
        <w:jc w:val="both"/>
        <w:ind w:firstLine="487"/>
        <w:spacing w:after="0" w:line="235" w:lineRule="auto"/>
        <w:tabs>
          <w:tab w:leader="none" w:pos="981"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16" w:lineRule="exact"/>
        <w:rPr>
          <w:rFonts w:ascii="Times New Roman" w:cs="Times New Roman" w:eastAsia="Times New Roman" w:hAnsi="Times New Roman"/>
          <w:sz w:val="16"/>
          <w:szCs w:val="16"/>
          <w:color w:val="auto"/>
        </w:rPr>
      </w:pPr>
    </w:p>
    <w:p>
      <w:pPr>
        <w:jc w:val="both"/>
        <w:ind w:firstLine="487"/>
        <w:spacing w:after="0" w:line="235" w:lineRule="auto"/>
        <w:tabs>
          <w:tab w:leader="none" w:pos="981"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deemed to have notice of any Default or Event of Default unless a Responsible Officer of the Trustee has actual knowledge thereof or unless written notice of any event which is in fact such a default is received by a Responsible Officer at the Corporate Trust Office of the Trustee, and such notice references the Securities generally or the Securities of a particular Series and this Indenture.</w:t>
      </w:r>
    </w:p>
    <w:p>
      <w:pPr>
        <w:spacing w:after="0" w:line="116" w:lineRule="exact"/>
        <w:rPr>
          <w:rFonts w:ascii="Times New Roman" w:cs="Times New Roman" w:eastAsia="Times New Roman" w:hAnsi="Times New Roman"/>
          <w:sz w:val="16"/>
          <w:szCs w:val="16"/>
          <w:color w:val="auto"/>
        </w:rPr>
      </w:pPr>
    </w:p>
    <w:p>
      <w:pPr>
        <w:ind w:firstLine="487"/>
        <w:spacing w:after="0" w:line="253" w:lineRule="auto"/>
        <w:tabs>
          <w:tab w:leader="none" w:pos="976"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104" w:lineRule="exact"/>
        <w:rPr>
          <w:rFonts w:ascii="Times New Roman" w:cs="Times New Roman" w:eastAsia="Times New Roman" w:hAnsi="Times New Roman"/>
          <w:sz w:val="16"/>
          <w:szCs w:val="16"/>
          <w:color w:val="auto"/>
        </w:rPr>
      </w:pPr>
    </w:p>
    <w:p>
      <w:pPr>
        <w:ind w:left="980" w:hanging="493"/>
        <w:spacing w:after="0"/>
        <w:tabs>
          <w:tab w:leader="none" w:pos="9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permissive right of the Trustee to take the actions permitted by this Indenture shall not be construed as an obligation or duty to do so.</w:t>
      </w:r>
    </w:p>
    <w:p>
      <w:pPr>
        <w:spacing w:after="0" w:line="144" w:lineRule="exact"/>
        <w:rPr>
          <w:rFonts w:ascii="Times New Roman" w:cs="Times New Roman" w:eastAsia="Times New Roman" w:hAnsi="Times New Roman"/>
          <w:sz w:val="16"/>
          <w:szCs w:val="16"/>
          <w:color w:val="auto"/>
        </w:rPr>
      </w:pPr>
    </w:p>
    <w:p>
      <w:pPr>
        <w:ind w:left="980" w:hanging="493"/>
        <w:spacing w:after="0"/>
        <w:tabs>
          <w:tab w:leader="none" w:pos="9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will not be required to give any bond or surety in respect of the execution of this Indenture or otherwise.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0780"/>
          </w:cols>
          <w:pgMar w:left="800" w:top="1093" w:right="319" w:bottom="1440" w:gutter="0" w:footer="0" w:header="0"/>
        </w:sectPr>
      </w:pPr>
    </w:p>
    <w:bookmarkStart w:id="134" w:name="page135"/>
    <w:bookmarkEnd w:id="134"/>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7.3.</w:t>
      </w:r>
      <w:r>
        <w:rPr>
          <w:sz w:val="20"/>
          <w:szCs w:val="20"/>
          <w:color w:val="auto"/>
        </w:rPr>
        <w:tab/>
      </w:r>
      <w:r>
        <w:rPr>
          <w:rFonts w:ascii="Times New Roman" w:cs="Times New Roman" w:eastAsia="Times New Roman" w:hAnsi="Times New Roman"/>
          <w:sz w:val="16"/>
          <w:szCs w:val="16"/>
          <w:u w:val="single" w:color="auto"/>
          <w:color w:val="auto"/>
        </w:rPr>
        <w:t>Individual Rights of Trustee</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40" w:firstLine="985"/>
        <w:spacing w:after="0" w:line="285" w:lineRule="auto"/>
        <w:rPr>
          <w:sz w:val="20"/>
          <w:szCs w:val="20"/>
          <w:color w:val="auto"/>
        </w:rPr>
      </w:pPr>
      <w:r>
        <w:rPr>
          <w:rFonts w:ascii="Times New Roman" w:cs="Times New Roman" w:eastAsia="Times New Roman" w:hAnsi="Times New Roman"/>
          <w:sz w:val="16"/>
          <w:szCs w:val="16"/>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302"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7.4.</w:t>
      </w:r>
      <w:r>
        <w:rPr>
          <w:sz w:val="20"/>
          <w:szCs w:val="20"/>
          <w:color w:val="auto"/>
        </w:rPr>
        <w:tab/>
      </w:r>
      <w:r>
        <w:rPr>
          <w:rFonts w:ascii="Times New Roman" w:cs="Times New Roman" w:eastAsia="Times New Roman" w:hAnsi="Times New Roman"/>
          <w:sz w:val="16"/>
          <w:szCs w:val="16"/>
          <w:u w:val="single" w:color="auto"/>
          <w:color w:val="auto"/>
        </w:rPr>
        <w:t>Trustee’s Disclaimer</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720" w:firstLine="985"/>
        <w:spacing w:after="0" w:line="293" w:lineRule="auto"/>
        <w:rPr>
          <w:sz w:val="20"/>
          <w:szCs w:val="20"/>
          <w:color w:val="auto"/>
        </w:rPr>
      </w:pPr>
      <w:r>
        <w:rPr>
          <w:rFonts w:ascii="Times New Roman" w:cs="Times New Roman" w:eastAsia="Times New Roman" w:hAnsi="Times New Roman"/>
          <w:sz w:val="16"/>
          <w:szCs w:val="16"/>
          <w:color w:val="auto"/>
        </w:rPr>
        <w:t>The Trustee makes no representation as to the validity or adequacy of this Indenture or the Securities. The Trustee shall not be accountable for the Company’s use of the proceeds from the Securities and shall not be responsible for any statement in the Securities other than its certificate of authentication.</w:t>
      </w:r>
    </w:p>
    <w:p>
      <w:pPr>
        <w:spacing w:after="0" w:line="8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7.5.</w:t>
      </w:r>
      <w:r>
        <w:rPr>
          <w:sz w:val="20"/>
          <w:szCs w:val="20"/>
          <w:color w:val="auto"/>
        </w:rPr>
        <w:tab/>
      </w:r>
      <w:r>
        <w:rPr>
          <w:rFonts w:ascii="Times New Roman" w:cs="Times New Roman" w:eastAsia="Times New Roman" w:hAnsi="Times New Roman"/>
          <w:sz w:val="16"/>
          <w:szCs w:val="16"/>
          <w:u w:val="single" w:color="auto"/>
          <w:color w:val="auto"/>
        </w:rPr>
        <w:t>Notice of Defaults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firstLine="985"/>
        <w:spacing w:after="0" w:line="263" w:lineRule="auto"/>
        <w:rPr>
          <w:sz w:val="20"/>
          <w:szCs w:val="20"/>
          <w:color w:val="auto"/>
        </w:rPr>
      </w:pPr>
      <w:r>
        <w:rPr>
          <w:rFonts w:ascii="Times New Roman" w:cs="Times New Roman" w:eastAsia="Times New Roman" w:hAnsi="Times New Roman"/>
          <w:sz w:val="16"/>
          <w:szCs w:val="16"/>
          <w:color w:val="auto"/>
        </w:rPr>
        <w:t>If a Default or Event of Default occurs and is continuing with respect to the Securities of any Series and if it is known to a Responsible Officer of the Trustee, the Trustee shall send to each 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Holders of that Series. The Trustee will not be deemed to have notice or be charged with knowledge of any Default or Event of Default unless written notice thereof has been received by a Responsible Officer, and such notice references the applicable Series of Securities and this Indenture and states on its face that a Default or Event of Default has occurred.</w:t>
      </w:r>
    </w:p>
    <w:p>
      <w:pPr>
        <w:spacing w:after="0" w:line="127"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7.6.</w:t>
      </w:r>
      <w:r>
        <w:rPr>
          <w:sz w:val="20"/>
          <w:szCs w:val="20"/>
          <w:color w:val="auto"/>
        </w:rPr>
        <w:tab/>
      </w:r>
      <w:r>
        <w:rPr>
          <w:rFonts w:ascii="Times New Roman" w:cs="Times New Roman" w:eastAsia="Times New Roman" w:hAnsi="Times New Roman"/>
          <w:sz w:val="16"/>
          <w:szCs w:val="16"/>
          <w:u w:val="single" w:color="auto"/>
          <w:color w:val="auto"/>
        </w:rPr>
        <w:t>Reports by Trustee to Holders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40" w:firstLine="985"/>
        <w:spacing w:after="0" w:line="293" w:lineRule="auto"/>
        <w:rPr>
          <w:sz w:val="20"/>
          <w:szCs w:val="20"/>
          <w:color w:val="auto"/>
        </w:rPr>
      </w:pPr>
      <w:r>
        <w:rPr>
          <w:rFonts w:ascii="Times New Roman" w:cs="Times New Roman" w:eastAsia="Times New Roman" w:hAnsi="Times New Roman"/>
          <w:sz w:val="16"/>
          <w:szCs w:val="16"/>
          <w:color w:val="auto"/>
        </w:rPr>
        <w:t>Within 60 days after each anniversary of this Indenture, the Trustee shall transmit by mail to all Holders, as their names and addresses appear on the register kept by the Registrar, a brief report dated as of such date, in accordance with, and to the extent required under, TIA § 313.</w:t>
      </w:r>
    </w:p>
    <w:p>
      <w:pPr>
        <w:spacing w:after="0" w:line="115" w:lineRule="exact"/>
        <w:rPr>
          <w:sz w:val="20"/>
          <w:szCs w:val="20"/>
          <w:color w:val="auto"/>
        </w:rPr>
      </w:pPr>
    </w:p>
    <w:p>
      <w:pPr>
        <w:ind w:right="160" w:firstLine="985"/>
        <w:spacing w:after="0" w:line="293" w:lineRule="auto"/>
        <w:rPr>
          <w:sz w:val="20"/>
          <w:szCs w:val="20"/>
          <w:color w:val="auto"/>
        </w:rPr>
      </w:pPr>
      <w:r>
        <w:rPr>
          <w:rFonts w:ascii="Times New Roman" w:cs="Times New Roman" w:eastAsia="Times New Roman" w:hAnsi="Times New Roman"/>
          <w:sz w:val="16"/>
          <w:szCs w:val="16"/>
          <w:color w:val="auto"/>
        </w:rPr>
        <w:t>A copy of each report at the time of its mailing to 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8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7.7.</w:t>
      </w:r>
      <w:r>
        <w:rPr>
          <w:sz w:val="20"/>
          <w:szCs w:val="20"/>
          <w:color w:val="auto"/>
        </w:rPr>
        <w:tab/>
      </w:r>
      <w:r>
        <w:rPr>
          <w:rFonts w:ascii="Times New Roman" w:cs="Times New Roman" w:eastAsia="Times New Roman" w:hAnsi="Times New Roman"/>
          <w:sz w:val="16"/>
          <w:szCs w:val="16"/>
          <w:u w:val="single" w:color="auto"/>
          <w:color w:val="auto"/>
        </w:rPr>
        <w:t>Compensation and Indemnity</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20" w:firstLine="985"/>
        <w:spacing w:after="0" w:line="273" w:lineRule="auto"/>
        <w:rPr>
          <w:sz w:val="20"/>
          <w:szCs w:val="20"/>
          <w:color w:val="auto"/>
        </w:rPr>
      </w:pPr>
      <w:r>
        <w:rPr>
          <w:rFonts w:ascii="Times New Roman" w:cs="Times New Roman" w:eastAsia="Times New Roman" w:hAnsi="Times New Roman"/>
          <w:sz w:val="16"/>
          <w:szCs w:val="16"/>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1280"/>
          </w:cols>
          <w:pgMar w:left="300" w:top="1093"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color w:val="auto"/>
        </w:rPr>
        <w:t>pocket expenses incurred by it. Such expenses shall include the reasonable compensation and expenses of the Trustee’s agents and counsel.</w:t>
      </w:r>
    </w:p>
    <w:p>
      <w:pPr>
        <w:spacing w:after="0" w:line="175" w:lineRule="exact"/>
        <w:rPr>
          <w:sz w:val="20"/>
          <w:szCs w:val="20"/>
          <w:color w:val="auto"/>
        </w:rPr>
      </w:pPr>
    </w:p>
    <w:p>
      <w:pPr>
        <w:ind w:firstLine="985"/>
        <w:spacing w:after="0" w:line="263" w:lineRule="auto"/>
        <w:rPr>
          <w:sz w:val="20"/>
          <w:szCs w:val="20"/>
          <w:color w:val="auto"/>
        </w:rPr>
      </w:pPr>
      <w:r>
        <w:rPr>
          <w:rFonts w:ascii="Times New Roman" w:cs="Times New Roman" w:eastAsia="Times New Roman" w:hAnsi="Times New Roman"/>
          <w:sz w:val="16"/>
          <w:szCs w:val="16"/>
          <w:color w:val="auto"/>
        </w:rPr>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38" w:lineRule="exact"/>
        <w:rPr>
          <w:sz w:val="20"/>
          <w:szCs w:val="20"/>
          <w:color w:val="auto"/>
        </w:rPr>
      </w:pPr>
    </w:p>
    <w:p>
      <w:pPr>
        <w:ind w:right="480" w:firstLine="985"/>
        <w:spacing w:after="0" w:line="293" w:lineRule="auto"/>
        <w:rPr>
          <w:sz w:val="20"/>
          <w:szCs w:val="20"/>
          <w:color w:val="auto"/>
        </w:rPr>
      </w:pPr>
      <w:r>
        <w:rPr>
          <w:rFonts w:ascii="Times New Roman" w:cs="Times New Roman" w:eastAsia="Times New Roman" w:hAnsi="Times New Roman"/>
          <w:sz w:val="16"/>
          <w:szCs w:val="16"/>
          <w:color w:val="auto"/>
        </w:rPr>
        <w:t>The Company need not reimburse any expense or indemnify against any loss or liability incurred by the Trustee or by any officer, director, employee, shareholder or agent of the Trustee through willful misconduct or negligence, as determined by a final decision of a court of competent jurisdiction.</w:t>
      </w:r>
    </w:p>
    <w:p>
      <w:pPr>
        <w:spacing w:after="0" w:line="105" w:lineRule="exact"/>
        <w:rPr>
          <w:sz w:val="20"/>
          <w:szCs w:val="20"/>
          <w:color w:val="auto"/>
        </w:rPr>
      </w:pPr>
    </w:p>
    <w:p>
      <w:pPr>
        <w:ind w:firstLine="985"/>
        <w:spacing w:after="0" w:line="293" w:lineRule="auto"/>
        <w:rPr>
          <w:sz w:val="20"/>
          <w:szCs w:val="20"/>
          <w:color w:val="auto"/>
        </w:rPr>
      </w:pPr>
      <w:r>
        <w:rPr>
          <w:rFonts w:ascii="Times New Roman" w:cs="Times New Roman" w:eastAsia="Times New Roman" w:hAnsi="Times New Roman"/>
          <w:sz w:val="16"/>
          <w:szCs w:val="16"/>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05" w:lineRule="exact"/>
        <w:rPr>
          <w:sz w:val="20"/>
          <w:szCs w:val="20"/>
          <w:color w:val="auto"/>
        </w:rPr>
      </w:pPr>
    </w:p>
    <w:p>
      <w:pPr>
        <w:ind w:right="80" w:firstLine="985"/>
        <w:spacing w:after="0" w:line="293" w:lineRule="auto"/>
        <w:rPr>
          <w:sz w:val="20"/>
          <w:szCs w:val="20"/>
          <w:color w:val="auto"/>
        </w:rPr>
      </w:pPr>
      <w:r>
        <w:rPr>
          <w:rFonts w:ascii="Times New Roman" w:cs="Times New Roman" w:eastAsia="Times New Roman" w:hAnsi="Times New Roman"/>
          <w:sz w:val="16"/>
          <w:szCs w:val="16"/>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The provisions of this Section shall survive the termination of this Indenture and the resignation or removal of the Trustee.</w:t>
      </w:r>
    </w:p>
    <w:p>
      <w:pPr>
        <w:spacing w:after="0" w:line="155"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7.8.</w:t>
      </w:r>
      <w:r>
        <w:rPr>
          <w:sz w:val="20"/>
          <w:szCs w:val="20"/>
          <w:color w:val="auto"/>
        </w:rPr>
        <w:tab/>
      </w:r>
      <w:r>
        <w:rPr>
          <w:rFonts w:ascii="Times New Roman" w:cs="Times New Roman" w:eastAsia="Times New Roman" w:hAnsi="Times New Roman"/>
          <w:sz w:val="16"/>
          <w:szCs w:val="16"/>
          <w:u w:val="single" w:color="auto"/>
          <w:color w:val="auto"/>
        </w:rPr>
        <w:t>Replacement of Trustee</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360" w:firstLine="985"/>
        <w:spacing w:after="0" w:line="293" w:lineRule="auto"/>
        <w:rPr>
          <w:sz w:val="20"/>
          <w:szCs w:val="20"/>
          <w:color w:val="auto"/>
        </w:rPr>
      </w:pPr>
      <w:r>
        <w:rPr>
          <w:rFonts w:ascii="Times New Roman" w:cs="Times New Roman" w:eastAsia="Times New Roman" w:hAnsi="Times New Roman"/>
          <w:sz w:val="16"/>
          <w:szCs w:val="16"/>
          <w:color w:val="auto"/>
        </w:rPr>
        <w:t>A resignation or removal of the Trustee and appointment of a successor Trustee shall become effective only upon the successor Trustee’s acceptance of appointment as provided in this Section.</w:t>
      </w:r>
    </w:p>
    <w:p>
      <w:pPr>
        <w:spacing w:after="0" w:line="105" w:lineRule="exact"/>
        <w:rPr>
          <w:sz w:val="20"/>
          <w:szCs w:val="20"/>
          <w:color w:val="auto"/>
        </w:rPr>
      </w:pPr>
    </w:p>
    <w:p>
      <w:pPr>
        <w:jc w:val="both"/>
        <w:ind w:right="200" w:firstLine="985"/>
        <w:spacing w:after="0" w:line="280" w:lineRule="auto"/>
        <w:rPr>
          <w:sz w:val="20"/>
          <w:szCs w:val="20"/>
          <w:color w:val="auto"/>
        </w:rPr>
      </w:pPr>
      <w:r>
        <w:rPr>
          <w:rFonts w:ascii="Times New Roman" w:cs="Times New Roman" w:eastAsia="Times New Roman" w:hAnsi="Times New Roman"/>
          <w:sz w:val="16"/>
          <w:szCs w:val="16"/>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1280"/>
          </w:cols>
          <w:pgMar w:left="300" w:top="1114" w:right="319" w:bottom="1440" w:gutter="0" w:footer="0" w:header="0"/>
        </w:sectPr>
      </w:pPr>
    </w:p>
    <w:bookmarkStart w:id="136" w:name="page137"/>
    <w:bookmarkEnd w:id="136"/>
    <w:p>
      <w:pPr>
        <w:ind w:left="1480" w:hanging="493"/>
        <w:spacing w:after="0"/>
        <w:tabs>
          <w:tab w:leader="none" w:pos="148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fails to comply with Section 7.10;</w:t>
      </w:r>
    </w:p>
    <w:p>
      <w:pPr>
        <w:spacing w:after="0" w:line="14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is adjudged a bankrupt or an insolvent or an order for relief is entered with respect to the Trustee under any Bankruptcy Law;</w:t>
      </w:r>
    </w:p>
    <w:p>
      <w:pPr>
        <w:spacing w:after="0" w:line="14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Custodian or public officer takes charge of the Trustee or its property; or</w:t>
      </w:r>
    </w:p>
    <w:p>
      <w:pPr>
        <w:spacing w:after="0" w:line="14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becomes incapable of acting.</w:t>
      </w:r>
    </w:p>
    <w:p>
      <w:pPr>
        <w:spacing w:after="0" w:line="165" w:lineRule="exact"/>
        <w:rPr>
          <w:sz w:val="20"/>
          <w:szCs w:val="20"/>
          <w:color w:val="auto"/>
        </w:rPr>
      </w:pPr>
    </w:p>
    <w:p>
      <w:pPr>
        <w:ind w:firstLine="985"/>
        <w:spacing w:after="0" w:line="273" w:lineRule="auto"/>
        <w:rPr>
          <w:sz w:val="20"/>
          <w:szCs w:val="20"/>
          <w:color w:val="auto"/>
        </w:rPr>
      </w:pPr>
      <w:r>
        <w:rPr>
          <w:rFonts w:ascii="Times New Roman" w:cs="Times New Roman" w:eastAsia="Times New Roman" w:hAnsi="Times New Roman"/>
          <w:sz w:val="16"/>
          <w:szCs w:val="16"/>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31" w:lineRule="exact"/>
        <w:rPr>
          <w:sz w:val="20"/>
          <w:szCs w:val="20"/>
          <w:color w:val="auto"/>
        </w:rPr>
      </w:pPr>
    </w:p>
    <w:p>
      <w:pPr>
        <w:jc w:val="both"/>
        <w:ind w:right="300" w:firstLine="985"/>
        <w:spacing w:after="0" w:line="273" w:lineRule="auto"/>
        <w:rPr>
          <w:sz w:val="20"/>
          <w:szCs w:val="20"/>
          <w:color w:val="auto"/>
        </w:rPr>
      </w:pPr>
      <w:r>
        <w:rPr>
          <w:rFonts w:ascii="Times New Roman" w:cs="Times New Roman" w:eastAsia="Times New Roman" w:hAnsi="Times New Roman"/>
          <w:sz w:val="16"/>
          <w:szCs w:val="16"/>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21" w:lineRule="exact"/>
        <w:rPr>
          <w:sz w:val="20"/>
          <w:szCs w:val="20"/>
          <w:color w:val="auto"/>
        </w:rPr>
      </w:pPr>
    </w:p>
    <w:p>
      <w:pPr>
        <w:ind w:right="100" w:firstLine="985"/>
        <w:spacing w:after="0" w:line="264" w:lineRule="auto"/>
        <w:rPr>
          <w:sz w:val="20"/>
          <w:szCs w:val="20"/>
          <w:color w:val="auto"/>
        </w:rPr>
      </w:pPr>
      <w:r>
        <w:rPr>
          <w:rFonts w:ascii="Times New Roman" w:cs="Times New Roman" w:eastAsia="Times New Roman" w:hAnsi="Times New Roman"/>
          <w:sz w:val="16"/>
          <w:szCs w:val="16"/>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09"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7.9.</w:t>
      </w:r>
      <w:r>
        <w:rPr>
          <w:sz w:val="20"/>
          <w:szCs w:val="20"/>
          <w:color w:val="auto"/>
        </w:rPr>
        <w:tab/>
      </w:r>
      <w:r>
        <w:rPr>
          <w:rFonts w:ascii="Times New Roman" w:cs="Times New Roman" w:eastAsia="Times New Roman" w:hAnsi="Times New Roman"/>
          <w:sz w:val="16"/>
          <w:szCs w:val="16"/>
          <w:u w:val="single" w:color="auto"/>
          <w:color w:val="auto"/>
        </w:rPr>
        <w:t>Successor Trustee by Merger, Etc</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80" w:firstLine="985"/>
        <w:spacing w:after="0" w:line="271" w:lineRule="auto"/>
        <w:rPr>
          <w:sz w:val="20"/>
          <w:szCs w:val="20"/>
          <w:color w:val="auto"/>
        </w:rPr>
      </w:pPr>
      <w:r>
        <w:rPr>
          <w:rFonts w:ascii="Times New Roman" w:cs="Times New Roman" w:eastAsia="Times New Roman" w:hAnsi="Times New Roman"/>
          <w:sz w:val="16"/>
          <w:szCs w:val="16"/>
          <w:color w:val="auto"/>
        </w:rPr>
        <w:t>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provided such organization or entity shall be otherwise qualified and eligible under Section 7.10, without the execution or filing of any paper or any further act on the part of any of the parties hereto.</w:t>
      </w:r>
    </w:p>
    <w:p>
      <w:pPr>
        <w:spacing w:after="0" w:line="102"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7.10.</w:t>
      </w:r>
      <w:r>
        <w:rPr>
          <w:sz w:val="20"/>
          <w:szCs w:val="20"/>
          <w:color w:val="auto"/>
        </w:rPr>
        <w:tab/>
      </w:r>
      <w:r>
        <w:rPr>
          <w:rFonts w:ascii="Times New Roman" w:cs="Times New Roman" w:eastAsia="Times New Roman" w:hAnsi="Times New Roman"/>
          <w:sz w:val="16"/>
          <w:szCs w:val="16"/>
          <w:u w:val="single" w:color="auto"/>
          <w:color w:val="auto"/>
        </w:rPr>
        <w:t>Eligibility; Disqualification</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40" w:firstLine="985"/>
        <w:spacing w:after="0" w:line="307" w:lineRule="auto"/>
        <w:rPr>
          <w:sz w:val="20"/>
          <w:szCs w:val="20"/>
          <w:color w:val="auto"/>
        </w:rPr>
      </w:pPr>
      <w:r>
        <w:rPr>
          <w:rFonts w:ascii="Times New Roman" w:cs="Times New Roman" w:eastAsia="Times New Roman" w:hAnsi="Times New Roman"/>
          <w:sz w:val="16"/>
          <w:szCs w:val="16"/>
          <w:color w:val="auto"/>
        </w:rPr>
        <w:t>This Indenture shall always have a Trustee who satisfies the requirements of TIA § 310(a)(1), (2) and (5). The Trustee shall always have a combined capital and surplus of at least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1260"/>
          </w:cols>
          <w:pgMar w:left="300" w:top="1093"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color w:val="auto"/>
        </w:rPr>
        <w:t>$25,000,000 as set forth in its most recent published annual report of condition. The Trustee shall comply with TIA § 310(b).</w:t>
      </w:r>
    </w:p>
    <w:p>
      <w:pPr>
        <w:spacing w:after="0" w:line="155" w:lineRule="exact"/>
        <w:rPr>
          <w:sz w:val="20"/>
          <w:szCs w:val="20"/>
          <w:color w:val="auto"/>
        </w:rPr>
      </w:pPr>
    </w:p>
    <w:p>
      <w:pPr>
        <w:ind w:left="740"/>
        <w:spacing w:after="0"/>
        <w:tabs>
          <w:tab w:leader="none" w:pos="1940" w:val="left"/>
        </w:tabs>
        <w:rPr>
          <w:sz w:val="20"/>
          <w:szCs w:val="20"/>
          <w:color w:val="auto"/>
        </w:rPr>
      </w:pPr>
      <w:r>
        <w:rPr>
          <w:rFonts w:ascii="Times New Roman" w:cs="Times New Roman" w:eastAsia="Times New Roman" w:hAnsi="Times New Roman"/>
          <w:sz w:val="16"/>
          <w:szCs w:val="16"/>
          <w:color w:val="auto"/>
        </w:rPr>
        <w:t>Section 7.11.</w:t>
      </w:r>
      <w:r>
        <w:rPr>
          <w:sz w:val="20"/>
          <w:szCs w:val="20"/>
          <w:color w:val="auto"/>
        </w:rPr>
        <w:tab/>
      </w:r>
      <w:r>
        <w:rPr>
          <w:rFonts w:ascii="Times New Roman" w:cs="Times New Roman" w:eastAsia="Times New Roman" w:hAnsi="Times New Roman"/>
          <w:sz w:val="16"/>
          <w:szCs w:val="16"/>
          <w:u w:val="single" w:color="auto"/>
          <w:color w:val="auto"/>
        </w:rPr>
        <w:t>Preferential Collection of Claims Against Company</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340" w:firstLine="985"/>
        <w:spacing w:after="0" w:line="293" w:lineRule="auto"/>
        <w:rPr>
          <w:sz w:val="20"/>
          <w:szCs w:val="20"/>
          <w:color w:val="auto"/>
        </w:rPr>
      </w:pPr>
      <w:r>
        <w:rPr>
          <w:rFonts w:ascii="Times New Roman" w:cs="Times New Roman" w:eastAsia="Times New Roman" w:hAnsi="Times New Roman"/>
          <w:sz w:val="16"/>
          <w:szCs w:val="16"/>
          <w:color w:val="auto"/>
        </w:rPr>
        <w:t>The Trustee is subject to TIA § 311(a), excluding any creditor relationship listed in TIA § 311(b). A Trustee who has resigned or been removed shall be subject to TIA § 311(a) to the extent indicated.</w:t>
      </w:r>
    </w:p>
    <w:p>
      <w:pPr>
        <w:spacing w:after="0" w:line="115" w:lineRule="exact"/>
        <w:rPr>
          <w:sz w:val="20"/>
          <w:szCs w:val="20"/>
          <w:color w:val="auto"/>
        </w:rPr>
      </w:pPr>
    </w:p>
    <w:p>
      <w:pPr>
        <w:ind w:left="3580"/>
        <w:spacing w:after="0"/>
        <w:tabs>
          <w:tab w:leader="none" w:pos="5020" w:val="left"/>
        </w:tabs>
        <w:rPr>
          <w:sz w:val="20"/>
          <w:szCs w:val="20"/>
          <w:color w:val="auto"/>
        </w:rPr>
      </w:pPr>
      <w:r>
        <w:rPr>
          <w:rFonts w:ascii="Times New Roman" w:cs="Times New Roman" w:eastAsia="Times New Roman" w:hAnsi="Times New Roman"/>
          <w:sz w:val="16"/>
          <w:szCs w:val="16"/>
          <w:color w:val="auto"/>
        </w:rPr>
        <w:t>ARTICLE VIII.</w:t>
      </w:r>
      <w:r>
        <w:rPr>
          <w:sz w:val="20"/>
          <w:szCs w:val="20"/>
          <w:color w:val="auto"/>
        </w:rPr>
        <w:tab/>
      </w:r>
      <w:r>
        <w:rPr>
          <w:rFonts w:ascii="Times New Roman" w:cs="Times New Roman" w:eastAsia="Times New Roman" w:hAnsi="Times New Roman"/>
          <w:sz w:val="16"/>
          <w:szCs w:val="16"/>
          <w:color w:val="auto"/>
        </w:rPr>
        <w:t>SATISFACTION AND DISCHARGE; DEFEASANCE</w:t>
      </w:r>
    </w:p>
    <w:p>
      <w:pPr>
        <w:spacing w:after="0" w:line="155"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8.1.</w:t>
      </w:r>
      <w:r>
        <w:rPr>
          <w:sz w:val="20"/>
          <w:szCs w:val="20"/>
          <w:color w:val="auto"/>
        </w:rPr>
        <w:tab/>
      </w:r>
      <w:r>
        <w:rPr>
          <w:rFonts w:ascii="Times New Roman" w:cs="Times New Roman" w:eastAsia="Times New Roman" w:hAnsi="Times New Roman"/>
          <w:sz w:val="16"/>
          <w:szCs w:val="16"/>
          <w:u w:val="single" w:color="auto"/>
          <w:color w:val="auto"/>
        </w:rPr>
        <w:t>Satisfaction and Discharge of Indenture</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right="140" w:firstLine="985"/>
        <w:spacing w:after="0" w:line="273" w:lineRule="auto"/>
        <w:rPr>
          <w:sz w:val="20"/>
          <w:szCs w:val="20"/>
          <w:color w:val="auto"/>
        </w:rPr>
      </w:pPr>
      <w:r>
        <w:rPr>
          <w:rFonts w:ascii="Times New Roman" w:cs="Times New Roman" w:eastAsia="Times New Roman" w:hAnsi="Times New Roman"/>
          <w:sz w:val="16"/>
          <w:szCs w:val="16"/>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100" w:lineRule="exact"/>
        <w:rPr>
          <w:sz w:val="20"/>
          <w:szCs w:val="20"/>
          <w:color w:val="auto"/>
        </w:rPr>
      </w:pPr>
    </w:p>
    <w:p>
      <w:pPr>
        <w:ind w:left="1480" w:hanging="493"/>
        <w:spacing w:after="0"/>
        <w:tabs>
          <w:tab w:leader="none" w:pos="148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w:t>
      </w:r>
    </w:p>
    <w:p>
      <w:pPr>
        <w:spacing w:after="0" w:line="144" w:lineRule="exact"/>
        <w:rPr>
          <w:rFonts w:ascii="Times New Roman" w:cs="Times New Roman" w:eastAsia="Times New Roman" w:hAnsi="Times New Roman"/>
          <w:sz w:val="16"/>
          <w:szCs w:val="16"/>
          <w:color w:val="auto"/>
        </w:rPr>
      </w:pPr>
    </w:p>
    <w:p>
      <w:pPr>
        <w:ind w:left="980" w:firstLine="499"/>
        <w:spacing w:after="0" w:line="253" w:lineRule="auto"/>
        <w:tabs>
          <w:tab w:leader="none" w:pos="1956"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04" w:lineRule="exact"/>
        <w:rPr>
          <w:rFonts w:ascii="Times New Roman" w:cs="Times New Roman" w:eastAsia="Times New Roman" w:hAnsi="Times New Roman"/>
          <w:sz w:val="16"/>
          <w:szCs w:val="16"/>
          <w:color w:val="auto"/>
        </w:rPr>
      </w:pPr>
    </w:p>
    <w:p>
      <w:pPr>
        <w:ind w:left="1960" w:hanging="481"/>
        <w:spacing w:after="0"/>
        <w:tabs>
          <w:tab w:leader="none" w:pos="1960"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such Securities of such Series not theretofore delivered to the Trustee for cancellation:</w:t>
      </w:r>
    </w:p>
    <w:p>
      <w:pPr>
        <w:spacing w:after="0" w:line="164" w:lineRule="exact"/>
        <w:rPr>
          <w:rFonts w:ascii="Times New Roman" w:cs="Times New Roman" w:eastAsia="Times New Roman" w:hAnsi="Times New Roman"/>
          <w:sz w:val="16"/>
          <w:szCs w:val="16"/>
          <w:color w:val="auto"/>
        </w:rPr>
      </w:pPr>
    </w:p>
    <w:p>
      <w:pPr>
        <w:ind w:left="2320" w:hanging="348"/>
        <w:spacing w:after="0"/>
        <w:tabs>
          <w:tab w:leader="none" w:pos="2320" w:val="left"/>
        </w:tabs>
        <w:numPr>
          <w:ilvl w:val="2"/>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become due and payable by reason of sending a notice of redemption or otherwise,</w:t>
      </w:r>
    </w:p>
    <w:p>
      <w:pPr>
        <w:spacing w:after="0" w:line="185" w:lineRule="exact"/>
        <w:rPr>
          <w:rFonts w:ascii="Times New Roman" w:cs="Times New Roman" w:eastAsia="Times New Roman" w:hAnsi="Times New Roman"/>
          <w:sz w:val="16"/>
          <w:szCs w:val="16"/>
          <w:color w:val="auto"/>
        </w:rPr>
      </w:pPr>
    </w:p>
    <w:p>
      <w:pPr>
        <w:ind w:left="2320" w:hanging="348"/>
        <w:spacing w:after="0"/>
        <w:tabs>
          <w:tab w:leader="none" w:pos="2320" w:val="left"/>
        </w:tabs>
        <w:numPr>
          <w:ilvl w:val="2"/>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become due and payable at their Stated Maturity within one year,</w:t>
      </w:r>
    </w:p>
    <w:p>
      <w:pPr>
        <w:spacing w:after="0" w:line="175" w:lineRule="exact"/>
        <w:rPr>
          <w:rFonts w:ascii="Times New Roman" w:cs="Times New Roman" w:eastAsia="Times New Roman" w:hAnsi="Times New Roman"/>
          <w:sz w:val="16"/>
          <w:szCs w:val="16"/>
          <w:color w:val="auto"/>
        </w:rPr>
      </w:pPr>
    </w:p>
    <w:p>
      <w:pPr>
        <w:ind w:left="1480" w:right="240" w:firstLine="492"/>
        <w:spacing w:after="0" w:line="293" w:lineRule="auto"/>
        <w:tabs>
          <w:tab w:leader="none" w:pos="2328" w:val="left"/>
        </w:tabs>
        <w:numPr>
          <w:ilvl w:val="2"/>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04" w:lineRule="exact"/>
        <w:rPr>
          <w:rFonts w:ascii="Times New Roman" w:cs="Times New Roman" w:eastAsia="Times New Roman" w:hAnsi="Times New Roman"/>
          <w:sz w:val="16"/>
          <w:szCs w:val="16"/>
          <w:color w:val="auto"/>
        </w:rPr>
      </w:pPr>
    </w:p>
    <w:p>
      <w:pPr>
        <w:ind w:left="2320" w:hanging="348"/>
        <w:spacing w:after="0"/>
        <w:tabs>
          <w:tab w:leader="none" w:pos="2320" w:val="left"/>
        </w:tabs>
        <w:numPr>
          <w:ilvl w:val="2"/>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deemed paid and discharged pursuant to Section 8.3, as applicable;</w:t>
      </w:r>
    </w:p>
    <w:p>
      <w:pPr>
        <w:spacing w:after="0" w:line="175"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and the Company, in the case of (1), (2) or (3) above, has irrevocably deposited or caused to be deposited with the Trustee as trust funds in trust an amount of money or U.S. Government Obligations, which amount shall be sufficient for the purpose of paying and discharging each installment of principal (including mandatory sinking fund payments or analogous payments) of and interest on all the Securities of such Series on the dates such installments of principal or interest are due;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1280"/>
          </w:cols>
          <w:pgMar w:left="300" w:top="1114" w:right="319" w:bottom="1440" w:gutter="0" w:footer="0" w:header="0"/>
        </w:sectPr>
      </w:pPr>
    </w:p>
    <w:bookmarkStart w:id="138" w:name="page139"/>
    <w:bookmarkEnd w:id="138"/>
    <w:p>
      <w:pPr>
        <w:ind w:left="1480" w:hanging="493"/>
        <w:spacing w:after="0"/>
        <w:tabs>
          <w:tab w:leader="none" w:pos="148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paid or caused to be paid all other sums payable hereunder by the Company; and</w:t>
      </w:r>
    </w:p>
    <w:p>
      <w:pPr>
        <w:spacing w:after="0" w:line="144" w:lineRule="exact"/>
        <w:rPr>
          <w:rFonts w:ascii="Times New Roman" w:cs="Times New Roman" w:eastAsia="Times New Roman" w:hAnsi="Times New Roman"/>
          <w:sz w:val="16"/>
          <w:szCs w:val="16"/>
          <w:color w:val="auto"/>
        </w:rPr>
      </w:pPr>
    </w:p>
    <w:p>
      <w:pPr>
        <w:ind w:left="500" w:firstLine="487"/>
        <w:spacing w:after="0" w:line="253" w:lineRule="auto"/>
        <w:tabs>
          <w:tab w:leader="none" w:pos="1493"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delivered to the Trustee an Officer’s Certificate and an Opinion of Counsel, each stating that all conditions precedent provided for relating to the satisfaction and discharge contemplated by this Section have been complied with.</w:t>
      </w:r>
    </w:p>
    <w:p>
      <w:pPr>
        <w:spacing w:after="0" w:line="125" w:lineRule="exact"/>
        <w:rPr>
          <w:sz w:val="20"/>
          <w:szCs w:val="20"/>
          <w:color w:val="auto"/>
        </w:rPr>
      </w:pPr>
    </w:p>
    <w:p>
      <w:pPr>
        <w:ind w:right="320" w:firstLine="985"/>
        <w:spacing w:after="0" w:line="273" w:lineRule="auto"/>
        <w:rPr>
          <w:sz w:val="20"/>
          <w:szCs w:val="20"/>
          <w:color w:val="auto"/>
        </w:rPr>
      </w:pPr>
      <w:r>
        <w:rPr>
          <w:rFonts w:ascii="Times New Roman" w:cs="Times New Roman" w:eastAsia="Times New Roman" w:hAnsi="Times New Roman"/>
          <w:sz w:val="16"/>
          <w:szCs w:val="16"/>
          <w:color w:val="auto"/>
        </w:rPr>
        <w:t>Notwithstanding the satisfaction and discharge of this Indenture, (x) the obligations of the Company to the Trustee under Section 7.7, (y) if money shall have been deposited with the Trustee pursuant to clause (a) of this Section, the provisions of Sections 2.4, 2.7, 2.8, 8.2 and 8.5, and (z) the rights, powers, trusts and immunities of the Trustee hereunder and the Company’s obligations in connection therewith shall survive.</w:t>
      </w:r>
    </w:p>
    <w:p>
      <w:pPr>
        <w:spacing w:after="0" w:line="111"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8.2.</w:t>
      </w:r>
      <w:r>
        <w:rPr>
          <w:sz w:val="20"/>
          <w:szCs w:val="20"/>
          <w:color w:val="auto"/>
        </w:rPr>
        <w:tab/>
      </w:r>
      <w:r>
        <w:rPr>
          <w:rFonts w:ascii="Times New Roman" w:cs="Times New Roman" w:eastAsia="Times New Roman" w:hAnsi="Times New Roman"/>
          <w:sz w:val="16"/>
          <w:szCs w:val="16"/>
          <w:u w:val="single" w:color="auto"/>
          <w:color w:val="auto"/>
        </w:rPr>
        <w:t>Application of Trust Funds; Indemnification</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left="500" w:firstLine="487"/>
        <w:spacing w:after="0" w:line="224" w:lineRule="auto"/>
        <w:tabs>
          <w:tab w:leader="none" w:pos="1482"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118" w:lineRule="exact"/>
        <w:rPr>
          <w:rFonts w:ascii="Times New Roman" w:cs="Times New Roman" w:eastAsia="Times New Roman" w:hAnsi="Times New Roman"/>
          <w:sz w:val="16"/>
          <w:szCs w:val="16"/>
          <w:color w:val="auto"/>
        </w:rPr>
      </w:pPr>
    </w:p>
    <w:p>
      <w:pPr>
        <w:jc w:val="both"/>
        <w:ind w:left="500" w:firstLine="487"/>
        <w:spacing w:after="0" w:line="235" w:lineRule="auto"/>
        <w:tabs>
          <w:tab w:leader="none" w:pos="1502"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pay and shall indemnify the Trustee (which indemnity shall survive termination of this Indenture)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16" w:lineRule="exact"/>
        <w:rPr>
          <w:rFonts w:ascii="Times New Roman" w:cs="Times New Roman" w:eastAsia="Times New Roman" w:hAnsi="Times New Roman"/>
          <w:sz w:val="16"/>
          <w:szCs w:val="16"/>
          <w:color w:val="auto"/>
        </w:rPr>
      </w:pPr>
    </w:p>
    <w:p>
      <w:pPr>
        <w:jc w:val="both"/>
        <w:ind w:left="500" w:firstLine="487"/>
        <w:spacing w:after="0" w:line="227" w:lineRule="auto"/>
        <w:tabs>
          <w:tab w:leader="none" w:pos="1493"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15"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8.3.</w:t>
      </w:r>
      <w:r>
        <w:rPr>
          <w:sz w:val="20"/>
          <w:szCs w:val="20"/>
          <w:color w:val="auto"/>
        </w:rPr>
        <w:tab/>
      </w:r>
      <w:r>
        <w:rPr>
          <w:rFonts w:ascii="Times New Roman" w:cs="Times New Roman" w:eastAsia="Times New Roman" w:hAnsi="Times New Roman"/>
          <w:sz w:val="16"/>
          <w:szCs w:val="16"/>
          <w:u w:val="single" w:color="auto"/>
          <w:color w:val="auto"/>
        </w:rPr>
        <w:t>Legal Defeasance of Securities of any Series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140" w:firstLine="985"/>
        <w:spacing w:after="0" w:line="273" w:lineRule="auto"/>
        <w:rPr>
          <w:sz w:val="20"/>
          <w:szCs w:val="20"/>
          <w:color w:val="auto"/>
        </w:rPr>
      </w:pPr>
      <w:r>
        <w:rPr>
          <w:rFonts w:ascii="Times New Roman" w:cs="Times New Roman" w:eastAsia="Times New Roman" w:hAnsi="Times New Roman"/>
          <w:sz w:val="16"/>
          <w:szCs w:val="16"/>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1280"/>
          </w:cols>
          <w:pgMar w:left="300" w:top="1093"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color w:val="auto"/>
        </w:rPr>
        <w:t>(and the Trustee, at the expense of the Company, shall, upon receipt of a Company Order, execute instruments acknowledging the same), except as to:</w:t>
      </w:r>
    </w:p>
    <w:p>
      <w:pPr>
        <w:spacing w:after="0" w:line="155" w:lineRule="exact"/>
        <w:rPr>
          <w:sz w:val="20"/>
          <w:szCs w:val="20"/>
          <w:color w:val="auto"/>
        </w:rPr>
      </w:pPr>
    </w:p>
    <w:p>
      <w:pPr>
        <w:jc w:val="both"/>
        <w:ind w:left="500" w:firstLine="487"/>
        <w:spacing w:after="0" w:line="230" w:lineRule="auto"/>
        <w:tabs>
          <w:tab w:leader="none" w:pos="1482"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15"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Sections 2.4, 2.5, 2.7, 2.8, 7.7, 8.2, 8.3, 8.5 and 8.6; and</w:t>
      </w:r>
    </w:p>
    <w:p>
      <w:pPr>
        <w:spacing w:after="0" w:line="14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powers, trusts and immunities of the Trustee hereunder and the Company’s obligations in connection therewith;</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provided that, the following conditions shall have been satisfied:</w:t>
      </w:r>
    </w:p>
    <w:p>
      <w:pPr>
        <w:spacing w:after="0" w:line="155" w:lineRule="exact"/>
        <w:rPr>
          <w:sz w:val="20"/>
          <w:szCs w:val="20"/>
          <w:color w:val="auto"/>
        </w:rPr>
      </w:pPr>
    </w:p>
    <w:p>
      <w:pPr>
        <w:jc w:val="both"/>
        <w:ind w:left="500" w:firstLine="487"/>
        <w:spacing w:after="0" w:line="222" w:lineRule="auto"/>
        <w:tabs>
          <w:tab w:leader="none" w:pos="1543"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15" w:lineRule="exact"/>
        <w:rPr>
          <w:rFonts w:ascii="Times New Roman" w:cs="Times New Roman" w:eastAsia="Times New Roman" w:hAnsi="Times New Roman"/>
          <w:sz w:val="16"/>
          <w:szCs w:val="16"/>
          <w:color w:val="auto"/>
        </w:rPr>
      </w:pPr>
    </w:p>
    <w:p>
      <w:pPr>
        <w:ind w:left="500" w:firstLine="487"/>
        <w:spacing w:after="0" w:line="253" w:lineRule="auto"/>
        <w:tabs>
          <w:tab w:leader="none" w:pos="1482"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deposit will not result in a breach or violation of, or constitute a default under, this Indenture or any other agreement or instrument to which the Company is a party or by which it is bound;</w:t>
      </w:r>
    </w:p>
    <w:p>
      <w:pPr>
        <w:spacing w:after="0" w:line="104" w:lineRule="exact"/>
        <w:rPr>
          <w:rFonts w:ascii="Times New Roman" w:cs="Times New Roman" w:eastAsia="Times New Roman" w:hAnsi="Times New Roman"/>
          <w:sz w:val="16"/>
          <w:szCs w:val="16"/>
          <w:color w:val="auto"/>
        </w:rPr>
      </w:pPr>
    </w:p>
    <w:p>
      <w:pPr>
        <w:ind w:left="500" w:firstLine="487"/>
        <w:spacing w:after="0" w:line="253" w:lineRule="auto"/>
        <w:tabs>
          <w:tab w:leader="none" w:pos="1515"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Default or Event of Default with respect to the Securities of such Series shall have occurred and be continuing on the date of such deposit or during the period ending on the 91st day after such date;</w:t>
      </w:r>
    </w:p>
    <w:p>
      <w:pPr>
        <w:spacing w:after="0" w:line="104" w:lineRule="exact"/>
        <w:rPr>
          <w:rFonts w:ascii="Times New Roman" w:cs="Times New Roman" w:eastAsia="Times New Roman" w:hAnsi="Times New Roman"/>
          <w:sz w:val="16"/>
          <w:szCs w:val="16"/>
          <w:color w:val="auto"/>
        </w:rPr>
      </w:pPr>
    </w:p>
    <w:p>
      <w:pPr>
        <w:jc w:val="both"/>
        <w:ind w:left="500" w:firstLine="487"/>
        <w:spacing w:after="0"/>
        <w:tabs>
          <w:tab w:leader="none" w:pos="1502"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1280"/>
          </w:cols>
          <w:pgMar w:left="300" w:top="1114" w:right="319" w:bottom="1440" w:gutter="0" w:footer="0" w:header="0"/>
        </w:sectPr>
      </w:pPr>
    </w:p>
    <w:bookmarkStart w:id="140" w:name="page141"/>
    <w:bookmarkEnd w:id="140"/>
    <w:p>
      <w:pPr>
        <w:ind w:left="500" w:firstLine="487"/>
        <w:spacing w:after="0" w:line="253" w:lineRule="auto"/>
        <w:tabs>
          <w:tab w:leader="none" w:pos="1512"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104" w:lineRule="exact"/>
        <w:rPr>
          <w:rFonts w:ascii="Times New Roman" w:cs="Times New Roman" w:eastAsia="Times New Roman" w:hAnsi="Times New Roman"/>
          <w:sz w:val="16"/>
          <w:szCs w:val="16"/>
          <w:color w:val="auto"/>
        </w:rPr>
      </w:pPr>
    </w:p>
    <w:p>
      <w:pPr>
        <w:ind w:left="500" w:firstLine="487"/>
        <w:spacing w:after="0" w:line="253" w:lineRule="auto"/>
        <w:tabs>
          <w:tab w:leader="none" w:pos="1537"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0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8.4.</w:t>
      </w:r>
      <w:r>
        <w:rPr>
          <w:sz w:val="20"/>
          <w:szCs w:val="20"/>
          <w:color w:val="auto"/>
        </w:rPr>
        <w:tab/>
      </w:r>
      <w:r>
        <w:rPr>
          <w:rFonts w:ascii="Times New Roman" w:cs="Times New Roman" w:eastAsia="Times New Roman" w:hAnsi="Times New Roman"/>
          <w:sz w:val="16"/>
          <w:szCs w:val="16"/>
          <w:u w:val="single" w:color="auto"/>
          <w:color w:val="auto"/>
        </w:rPr>
        <w:t>Covenant Defeasance</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100" w:firstLine="985"/>
        <w:spacing w:after="0" w:line="263" w:lineRule="auto"/>
        <w:rPr>
          <w:sz w:val="20"/>
          <w:szCs w:val="20"/>
          <w:color w:val="auto"/>
        </w:rPr>
      </w:pPr>
      <w:r>
        <w:rPr>
          <w:rFonts w:ascii="Times New Roman" w:cs="Times New Roman" w:eastAsia="Times New Roman" w:hAnsi="Times New Roman"/>
          <w:sz w:val="16"/>
          <w:szCs w:val="16"/>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107" w:lineRule="exact"/>
        <w:rPr>
          <w:sz w:val="20"/>
          <w:szCs w:val="20"/>
          <w:color w:val="auto"/>
        </w:rPr>
      </w:pPr>
    </w:p>
    <w:p>
      <w:pPr>
        <w:jc w:val="both"/>
        <w:ind w:left="500" w:firstLine="487"/>
        <w:spacing w:after="0" w:line="221" w:lineRule="auto"/>
        <w:tabs>
          <w:tab w:leader="none" w:pos="1534"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w:t>
      </w:r>
    </w:p>
    <w:p>
      <w:pPr>
        <w:spacing w:after="0" w:line="2" w:lineRule="exact"/>
        <w:rPr>
          <w:rFonts w:ascii="Times New Roman" w:cs="Times New Roman" w:eastAsia="Times New Roman" w:hAnsi="Times New Roman"/>
          <w:sz w:val="16"/>
          <w:szCs w:val="16"/>
          <w:color w:val="auto"/>
        </w:rPr>
      </w:pPr>
    </w:p>
    <w:p>
      <w:pPr>
        <w:jc w:val="both"/>
        <w:ind w:left="500" w:hanging="6"/>
        <w:spacing w:after="0" w:line="221" w:lineRule="auto"/>
        <w:tabs>
          <w:tab w:leader="none" w:pos="748"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payments or analogous payments) of and interest on all the Securities of such Series on the dates such installments of principal or interest are due;</w:t>
      </w:r>
    </w:p>
    <w:p>
      <w:pPr>
        <w:spacing w:after="0" w:line="114" w:lineRule="exact"/>
        <w:rPr>
          <w:rFonts w:ascii="Times New Roman" w:cs="Times New Roman" w:eastAsia="Times New Roman" w:hAnsi="Times New Roman"/>
          <w:sz w:val="16"/>
          <w:szCs w:val="16"/>
          <w:color w:val="auto"/>
        </w:rPr>
      </w:pPr>
    </w:p>
    <w:p>
      <w:pPr>
        <w:ind w:left="500" w:firstLine="487"/>
        <w:spacing w:after="0" w:line="253" w:lineRule="auto"/>
        <w:tabs>
          <w:tab w:leader="none" w:pos="1481"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deposit will not result in a breach or violation of, or constitute a default under, this Indenture or any other agreement or instrument to which the Company is a party or by which it is bound;</w:t>
      </w:r>
    </w:p>
    <w:p>
      <w:pPr>
        <w:spacing w:after="0" w:line="10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Default or Event of Default with respect to the Securities of such Series shall have occurred and be continuing on the date of such deposit;</w:t>
      </w:r>
    </w:p>
    <w:p>
      <w:pPr>
        <w:spacing w:after="0" w:line="144" w:lineRule="exact"/>
        <w:rPr>
          <w:rFonts w:ascii="Times New Roman" w:cs="Times New Roman" w:eastAsia="Times New Roman" w:hAnsi="Times New Roman"/>
          <w:sz w:val="16"/>
          <w:szCs w:val="16"/>
          <w:color w:val="auto"/>
        </w:rPr>
      </w:pPr>
    </w:p>
    <w:p>
      <w:pPr>
        <w:ind w:left="500" w:firstLine="487"/>
        <w:spacing w:after="0" w:line="253" w:lineRule="auto"/>
        <w:tabs>
          <w:tab w:leader="none" w:pos="1481"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the Trustee an Officers’ Certificate and an Opinion of Counsel to the effect that the Holders of the Securities of such Series will not recognize income, gain or loss for Federal income tax purposes as a result of</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1280"/>
          </w:cols>
          <w:pgMar w:left="300" w:top="1093" w:right="319" w:bottom="1440" w:gutter="0" w:footer="0" w:header="0"/>
        </w:sectPr>
      </w:pPr>
    </w:p>
    <w:bookmarkStart w:id="141" w:name="page142"/>
    <w:bookmarkEnd w:id="141"/>
    <w:p>
      <w:pPr>
        <w:ind w:left="500"/>
        <w:spacing w:after="0" w:line="253" w:lineRule="auto"/>
        <w:rPr>
          <w:sz w:val="20"/>
          <w:szCs w:val="20"/>
          <w:color w:val="auto"/>
        </w:rPr>
      </w:pPr>
      <w:r>
        <w:rPr>
          <w:rFonts w:ascii="Times New Roman" w:cs="Times New Roman" w:eastAsia="Times New Roman" w:hAnsi="Times New Roman"/>
          <w:sz w:val="16"/>
          <w:szCs w:val="16"/>
          <w:color w:val="auto"/>
        </w:rPr>
        <w:t>such deposit and covenant defeasance and will be subject to Federal income tax on the same amount and in the same manner and at the same times as would have been the case if such deposit and covenant defeasance had not occurred;</w:t>
      </w:r>
    </w:p>
    <w:p>
      <w:pPr>
        <w:spacing w:after="0" w:line="104" w:lineRule="exact"/>
        <w:rPr>
          <w:sz w:val="20"/>
          <w:szCs w:val="20"/>
          <w:color w:val="auto"/>
        </w:rPr>
      </w:pPr>
    </w:p>
    <w:p>
      <w:pPr>
        <w:ind w:left="500" w:firstLine="487"/>
        <w:spacing w:after="0" w:line="253" w:lineRule="auto"/>
        <w:tabs>
          <w:tab w:leader="none" w:pos="1544"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104" w:lineRule="exact"/>
        <w:rPr>
          <w:rFonts w:ascii="Times New Roman" w:cs="Times New Roman" w:eastAsia="Times New Roman" w:hAnsi="Times New Roman"/>
          <w:sz w:val="16"/>
          <w:szCs w:val="16"/>
          <w:color w:val="auto"/>
        </w:rPr>
      </w:pPr>
    </w:p>
    <w:p>
      <w:pPr>
        <w:ind w:left="500" w:firstLine="487"/>
        <w:spacing w:after="0" w:line="253" w:lineRule="auto"/>
        <w:tabs>
          <w:tab w:leader="none" w:pos="1485"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0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8.5.</w:t>
      </w:r>
      <w:r>
        <w:rPr>
          <w:sz w:val="20"/>
          <w:szCs w:val="20"/>
          <w:color w:val="auto"/>
        </w:rPr>
        <w:tab/>
      </w:r>
      <w:r>
        <w:rPr>
          <w:rFonts w:ascii="Times New Roman" w:cs="Times New Roman" w:eastAsia="Times New Roman" w:hAnsi="Times New Roman"/>
          <w:sz w:val="16"/>
          <w:szCs w:val="16"/>
          <w:u w:val="single" w:color="auto"/>
          <w:color w:val="auto"/>
        </w:rPr>
        <w:t>Repayment to Company</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300" w:firstLine="985"/>
        <w:spacing w:after="0" w:line="273" w:lineRule="auto"/>
        <w:rPr>
          <w:sz w:val="20"/>
          <w:szCs w:val="20"/>
          <w:color w:val="auto"/>
        </w:rPr>
      </w:pPr>
      <w:r>
        <w:rPr>
          <w:rFonts w:ascii="Times New Roman" w:cs="Times New Roman" w:eastAsia="Times New Roman" w:hAnsi="Times New Roman"/>
          <w:sz w:val="16"/>
          <w:szCs w:val="16"/>
          <w:color w:val="auto"/>
        </w:rPr>
        <w:t>Subject to applicable abandoned property law, the Trustee and the Paying Agent shall pay to the Company upon request any money held by them for the payment of principal and interest that remains unclaimed for two years. After that, Holders entitled to the money must look to the Company for payment as general creditors unless an applicable abandoned property law designates another person.</w:t>
      </w:r>
    </w:p>
    <w:p>
      <w:pPr>
        <w:spacing w:after="0" w:line="111"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8.6.</w:t>
      </w:r>
      <w:r>
        <w:rPr>
          <w:sz w:val="20"/>
          <w:szCs w:val="20"/>
          <w:color w:val="auto"/>
        </w:rPr>
        <w:tab/>
      </w:r>
      <w:r>
        <w:rPr>
          <w:rFonts w:ascii="Times New Roman" w:cs="Times New Roman" w:eastAsia="Times New Roman" w:hAnsi="Times New Roman"/>
          <w:sz w:val="16"/>
          <w:szCs w:val="16"/>
          <w:u w:val="single" w:color="auto"/>
          <w:color w:val="auto"/>
        </w:rPr>
        <w:t>Reinstatement</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80" w:firstLine="985"/>
        <w:spacing w:after="0" w:line="263" w:lineRule="auto"/>
        <w:rPr>
          <w:sz w:val="20"/>
          <w:szCs w:val="20"/>
          <w:color w:val="auto"/>
        </w:rPr>
      </w:pPr>
      <w:r>
        <w:rPr>
          <w:rFonts w:ascii="Times New Roman" w:cs="Times New Roman" w:eastAsia="Times New Roman" w:hAnsi="Times New Roman"/>
          <w:sz w:val="16"/>
          <w:szCs w:val="16"/>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color w:val="auto"/>
        </w:rPr>
        <w:t>ARTICLE IX. AMENDMENTS AND WAIVERS</w:t>
      </w:r>
    </w:p>
    <w:p>
      <w:pPr>
        <w:spacing w:after="0" w:line="155"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9.1.</w:t>
      </w:r>
      <w:r>
        <w:rPr>
          <w:sz w:val="20"/>
          <w:szCs w:val="20"/>
          <w:color w:val="auto"/>
        </w:rPr>
        <w:tab/>
      </w:r>
      <w:r>
        <w:rPr>
          <w:rFonts w:ascii="Times New Roman" w:cs="Times New Roman" w:eastAsia="Times New Roman" w:hAnsi="Times New Roman"/>
          <w:sz w:val="16"/>
          <w:szCs w:val="16"/>
          <w:u w:val="single" w:color="auto"/>
          <w:color w:val="auto"/>
        </w:rPr>
        <w:t>Without Consent of Holders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The Company and the Trustee may amend or supplement this Indenture or the Securities of one or more Series without the consent of any Holder:</w:t>
      </w:r>
    </w:p>
    <w:p>
      <w:pPr>
        <w:spacing w:after="0" w:line="155" w:lineRule="exact"/>
        <w:rPr>
          <w:sz w:val="20"/>
          <w:szCs w:val="20"/>
          <w:color w:val="auto"/>
        </w:rPr>
      </w:pPr>
    </w:p>
    <w:p>
      <w:pPr>
        <w:ind w:left="1480" w:hanging="493"/>
        <w:spacing w:after="0"/>
        <w:tabs>
          <w:tab w:leader="none" w:pos="148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cure any ambiguity, defect or inconsistency;</w:t>
      </w:r>
    </w:p>
    <w:p>
      <w:pPr>
        <w:spacing w:after="0" w:line="14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comply with Article V;</w:t>
      </w:r>
    </w:p>
    <w:p>
      <w:pPr>
        <w:spacing w:after="0" w:line="14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for uncertificated Securities in addition to or in place of certificated Securities;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1280"/>
          </w:cols>
          <w:pgMar w:left="300" w:top="1093" w:right="319" w:bottom="1440" w:gutter="0" w:footer="0" w:header="0"/>
        </w:sectPr>
      </w:pPr>
    </w:p>
    <w:bookmarkStart w:id="142" w:name="page143"/>
    <w:bookmarkEnd w:id="142"/>
    <w:p>
      <w:pPr>
        <w:ind w:left="1480" w:hanging="493"/>
        <w:spacing w:after="0"/>
        <w:tabs>
          <w:tab w:leader="none" w:pos="14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add guarantees with respect to Securities of any Series or secure Securities of any Series;</w:t>
      </w:r>
    </w:p>
    <w:p>
      <w:pPr>
        <w:spacing w:after="0" w:line="14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surrender any of the Company’s rights or powers under this Indenture;</w:t>
      </w:r>
    </w:p>
    <w:p>
      <w:pPr>
        <w:spacing w:after="0" w:line="14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add covenants or events of default for the benefit of the holders of Securities of any Series;</w:t>
      </w:r>
    </w:p>
    <w:p>
      <w:pPr>
        <w:spacing w:after="0" w:line="14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comply with the applicable procedures of the applicable depositary;</w:t>
      </w:r>
    </w:p>
    <w:p>
      <w:pPr>
        <w:spacing w:after="0" w:line="14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make any change that does not adversely affect the rights of any Holder;</w:t>
      </w:r>
    </w:p>
    <w:p>
      <w:pPr>
        <w:spacing w:after="0" w:line="14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for the issuance of and establish the form and terms and conditions of Securities of any Series as permitted by this Indenture;</w:t>
      </w:r>
    </w:p>
    <w:p>
      <w:pPr>
        <w:spacing w:after="0" w:line="144" w:lineRule="exact"/>
        <w:rPr>
          <w:rFonts w:ascii="Times New Roman" w:cs="Times New Roman" w:eastAsia="Times New Roman" w:hAnsi="Times New Roman"/>
          <w:sz w:val="16"/>
          <w:szCs w:val="16"/>
          <w:color w:val="auto"/>
        </w:rPr>
      </w:pPr>
    </w:p>
    <w:p>
      <w:pPr>
        <w:jc w:val="both"/>
        <w:ind w:left="500" w:firstLine="487"/>
        <w:spacing w:after="0" w:line="235" w:lineRule="auto"/>
        <w:tabs>
          <w:tab w:leader="none" w:pos="1476"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16"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comply with requirements of the SEC in order to effect or maintain the qualification of this Indenture under the TIA.</w:t>
      </w:r>
    </w:p>
    <w:p>
      <w:pPr>
        <w:spacing w:after="0" w:line="14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u w:val="single" w:color="auto"/>
          <w:color w:val="auto"/>
        </w:rPr>
        <w:t>Section 9.2.</w:t>
      </w:r>
      <w:r>
        <w:rPr>
          <w:sz w:val="20"/>
          <w:szCs w:val="20"/>
          <w:color w:val="auto"/>
        </w:rPr>
        <w:tab/>
      </w:r>
      <w:r>
        <w:rPr>
          <w:rFonts w:ascii="Times New Roman" w:cs="Times New Roman" w:eastAsia="Times New Roman" w:hAnsi="Times New Roman"/>
          <w:sz w:val="16"/>
          <w:szCs w:val="16"/>
          <w:u w:val="single" w:color="auto"/>
          <w:color w:val="auto"/>
        </w:rPr>
        <w:t>W</w:t>
      </w:r>
      <w:r>
        <w:rPr>
          <w:rFonts w:ascii="Times New Roman" w:cs="Times New Roman" w:eastAsia="Times New Roman" w:hAnsi="Times New Roman"/>
          <w:sz w:val="16"/>
          <w:szCs w:val="16"/>
          <w:color w:val="auto"/>
        </w:rPr>
        <w:t>ith Consent of Holders.</w:t>
      </w:r>
    </w:p>
    <w:p>
      <w:pPr>
        <w:spacing w:after="0" w:line="165" w:lineRule="exact"/>
        <w:rPr>
          <w:sz w:val="20"/>
          <w:szCs w:val="20"/>
          <w:color w:val="auto"/>
        </w:rPr>
      </w:pPr>
    </w:p>
    <w:p>
      <w:pPr>
        <w:ind w:firstLine="985"/>
        <w:spacing w:after="0" w:line="263" w:lineRule="auto"/>
        <w:rPr>
          <w:sz w:val="20"/>
          <w:szCs w:val="20"/>
          <w:color w:val="auto"/>
        </w:rPr>
      </w:pPr>
      <w:r>
        <w:rPr>
          <w:rFonts w:ascii="Times New Roman" w:cs="Times New Roman" w:eastAsia="Times New Roman" w:hAnsi="Times New Roman"/>
          <w:sz w:val="16"/>
          <w:szCs w:val="16"/>
          <w:color w:val="auto"/>
        </w:rPr>
        <w:t>Subject to Section 9.3, 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and subject to Section 9.3,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27" w:lineRule="exact"/>
        <w:rPr>
          <w:sz w:val="20"/>
          <w:szCs w:val="20"/>
          <w:color w:val="auto"/>
        </w:rPr>
      </w:pPr>
    </w:p>
    <w:p>
      <w:pPr>
        <w:ind w:right="40" w:firstLine="985"/>
        <w:spacing w:after="0" w:line="271" w:lineRule="auto"/>
        <w:rPr>
          <w:sz w:val="20"/>
          <w:szCs w:val="20"/>
          <w:color w:val="auto"/>
        </w:rPr>
      </w:pPr>
      <w:r>
        <w:rPr>
          <w:rFonts w:ascii="Times New Roman" w:cs="Times New Roman" w:eastAsia="Times New Roman" w:hAnsi="Times New Roman"/>
          <w:sz w:val="16"/>
          <w:szCs w:val="16"/>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02"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9.3.</w:t>
      </w:r>
      <w:r>
        <w:rPr>
          <w:sz w:val="20"/>
          <w:szCs w:val="20"/>
          <w:color w:val="auto"/>
        </w:rPr>
        <w:tab/>
      </w:r>
      <w:r>
        <w:rPr>
          <w:rFonts w:ascii="Times New Roman" w:cs="Times New Roman" w:eastAsia="Times New Roman" w:hAnsi="Times New Roman"/>
          <w:sz w:val="16"/>
          <w:szCs w:val="16"/>
          <w:u w:val="single" w:color="auto"/>
          <w:color w:val="auto"/>
        </w:rPr>
        <w:t>Limitations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Without the consent of each Holder affected, an amendment or waiver may not: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1280"/>
          </w:cols>
          <w:pgMar w:left="300" w:top="1093" w:right="319" w:bottom="1440" w:gutter="0" w:footer="0" w:header="0"/>
        </w:sectPr>
      </w:pPr>
    </w:p>
    <w:bookmarkStart w:id="143" w:name="page144"/>
    <w:bookmarkEnd w:id="143"/>
    <w:p>
      <w:pPr>
        <w:ind w:left="1480" w:hanging="493"/>
        <w:spacing w:after="0"/>
        <w:tabs>
          <w:tab w:leader="none" w:pos="14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principal amount of Securities whose Holders must consent to an amendment, supplement or waiver;</w:t>
      </w:r>
    </w:p>
    <w:p>
      <w:pPr>
        <w:spacing w:after="0" w:line="14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rate of or extend the time for payment of interest (including default interest) on any Security;</w:t>
      </w:r>
    </w:p>
    <w:p>
      <w:pPr>
        <w:spacing w:after="0" w:line="144" w:lineRule="exact"/>
        <w:rPr>
          <w:rFonts w:ascii="Times New Roman" w:cs="Times New Roman" w:eastAsia="Times New Roman" w:hAnsi="Times New Roman"/>
          <w:sz w:val="16"/>
          <w:szCs w:val="16"/>
          <w:color w:val="auto"/>
        </w:rPr>
      </w:pPr>
    </w:p>
    <w:p>
      <w:pPr>
        <w:ind w:left="500" w:firstLine="487"/>
        <w:spacing w:after="0" w:line="253" w:lineRule="auto"/>
        <w:tabs>
          <w:tab w:leader="none" w:pos="1534"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principal or change the Stated Maturity of any Security or reduce the amount of, or postpone the date fixed for, the payment of any sinking fund or analogous obligation;</w:t>
      </w:r>
    </w:p>
    <w:p>
      <w:pPr>
        <w:spacing w:after="0" w:line="10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principal amount of Discount Securities payable upon acceleration of the maturity thereof;</w:t>
      </w:r>
    </w:p>
    <w:p>
      <w:pPr>
        <w:spacing w:after="0" w:line="144" w:lineRule="exact"/>
        <w:rPr>
          <w:rFonts w:ascii="Times New Roman" w:cs="Times New Roman" w:eastAsia="Times New Roman" w:hAnsi="Times New Roman"/>
          <w:sz w:val="16"/>
          <w:szCs w:val="16"/>
          <w:color w:val="auto"/>
        </w:rPr>
      </w:pPr>
    </w:p>
    <w:p>
      <w:pPr>
        <w:jc w:val="both"/>
        <w:ind w:left="500" w:firstLine="487"/>
        <w:spacing w:after="0" w:line="235" w:lineRule="auto"/>
        <w:tabs>
          <w:tab w:leader="none" w:pos="1493"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16"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the principal of or interest, if any, on any Security payable in any currency other than that stated in the Security;</w:t>
      </w:r>
    </w:p>
    <w:p>
      <w:pPr>
        <w:spacing w:after="0" w:line="14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in Sections 6.8, 6.13 or 9.3 (this sentence); or</w:t>
      </w:r>
    </w:p>
    <w:p>
      <w:pPr>
        <w:spacing w:after="0" w:line="14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waive a redemption payment with respect to any Security, provided that such redemption is made at the Company’s option.</w:t>
      </w:r>
    </w:p>
    <w:p>
      <w:pPr>
        <w:spacing w:after="0" w:line="14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9.4.</w:t>
      </w:r>
      <w:r>
        <w:rPr>
          <w:sz w:val="20"/>
          <w:szCs w:val="20"/>
          <w:color w:val="auto"/>
        </w:rPr>
        <w:tab/>
      </w:r>
      <w:r>
        <w:rPr>
          <w:rFonts w:ascii="Times New Roman" w:cs="Times New Roman" w:eastAsia="Times New Roman" w:hAnsi="Times New Roman"/>
          <w:sz w:val="16"/>
          <w:szCs w:val="16"/>
          <w:u w:val="single" w:color="auto"/>
          <w:color w:val="auto"/>
        </w:rPr>
        <w:t>Compliance with Trust Indenture Act</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160" w:firstLine="985"/>
        <w:spacing w:after="0" w:line="293" w:lineRule="auto"/>
        <w:rPr>
          <w:sz w:val="20"/>
          <w:szCs w:val="20"/>
          <w:color w:val="auto"/>
        </w:rPr>
      </w:pPr>
      <w:r>
        <w:rPr>
          <w:rFonts w:ascii="Times New Roman" w:cs="Times New Roman" w:eastAsia="Times New Roman" w:hAnsi="Times New Roman"/>
          <w:sz w:val="16"/>
          <w:szCs w:val="16"/>
          <w:color w:val="auto"/>
        </w:rPr>
        <w:t>Every amendment to this Indenture or the Securities of one or more Series shall be set forth in a supplemental indenture hereto that complies with the TIA as then in effect.</w:t>
      </w:r>
    </w:p>
    <w:p>
      <w:pPr>
        <w:spacing w:after="0" w:line="8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9.5.</w:t>
      </w:r>
      <w:r>
        <w:rPr>
          <w:sz w:val="20"/>
          <w:szCs w:val="20"/>
          <w:color w:val="auto"/>
        </w:rPr>
        <w:tab/>
      </w:r>
      <w:r>
        <w:rPr>
          <w:rFonts w:ascii="Times New Roman" w:cs="Times New Roman" w:eastAsia="Times New Roman" w:hAnsi="Times New Roman"/>
          <w:sz w:val="16"/>
          <w:szCs w:val="16"/>
          <w:u w:val="single" w:color="auto"/>
          <w:color w:val="auto"/>
        </w:rPr>
        <w:t>Revocation and Effect of Consents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100" w:firstLine="985"/>
        <w:spacing w:after="0" w:line="271" w:lineRule="auto"/>
        <w:rPr>
          <w:sz w:val="20"/>
          <w:szCs w:val="20"/>
          <w:color w:val="auto"/>
        </w:rPr>
      </w:pPr>
      <w:r>
        <w:rPr>
          <w:rFonts w:ascii="Times New Roman" w:cs="Times New Roman" w:eastAsia="Times New Roman" w:hAnsi="Times New Roman"/>
          <w:sz w:val="16"/>
          <w:szCs w:val="16"/>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23" w:lineRule="exact"/>
        <w:rPr>
          <w:sz w:val="20"/>
          <w:szCs w:val="20"/>
          <w:color w:val="auto"/>
        </w:rPr>
      </w:pPr>
    </w:p>
    <w:p>
      <w:pPr>
        <w:ind w:right="120" w:firstLine="985"/>
        <w:spacing w:after="0" w:line="280" w:lineRule="auto"/>
        <w:rPr>
          <w:sz w:val="20"/>
          <w:szCs w:val="20"/>
          <w:color w:val="auto"/>
        </w:rPr>
      </w:pPr>
      <w:r>
        <w:rPr>
          <w:rFonts w:ascii="Times New Roman" w:cs="Times New Roman" w:eastAsia="Times New Roman" w:hAnsi="Times New Roman"/>
          <w:sz w:val="16"/>
          <w:szCs w:val="16"/>
          <w:color w:val="auto"/>
        </w:rPr>
        <w:t>Any amendment or waiver once effective shall bind every 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15" w:lineRule="exact"/>
        <w:rPr>
          <w:sz w:val="20"/>
          <w:szCs w:val="20"/>
          <w:color w:val="auto"/>
        </w:rPr>
      </w:pPr>
    </w:p>
    <w:p>
      <w:pPr>
        <w:ind w:right="80" w:firstLine="985"/>
        <w:spacing w:after="0" w:line="293" w:lineRule="auto"/>
        <w:rPr>
          <w:sz w:val="20"/>
          <w:szCs w:val="20"/>
          <w:color w:val="auto"/>
        </w:rPr>
      </w:pPr>
      <w:r>
        <w:rPr>
          <w:rFonts w:ascii="Times New Roman" w:cs="Times New Roman" w:eastAsia="Times New Roman" w:hAnsi="Times New Roman"/>
          <w:sz w:val="16"/>
          <w:szCs w:val="16"/>
          <w:color w:val="auto"/>
        </w:rPr>
        <w:t>The Company may, but shall not be obligated to, fix a record date for the purpose of determining the Holders entitled to give their consent or take any other action described above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1280"/>
          </w:cols>
          <w:pgMar w:left="300" w:top="1093" w:right="319" w:bottom="1440" w:gutter="0" w:footer="0" w:header="0"/>
        </w:sectPr>
      </w:pPr>
    </w:p>
    <w:bookmarkStart w:id="144" w:name="page145"/>
    <w:bookmarkEnd w:id="144"/>
    <w:p>
      <w:pPr>
        <w:spacing w:after="0" w:line="271" w:lineRule="auto"/>
        <w:rPr>
          <w:sz w:val="20"/>
          <w:szCs w:val="20"/>
          <w:color w:val="auto"/>
        </w:rPr>
      </w:pPr>
      <w:r>
        <w:rPr>
          <w:rFonts w:ascii="Times New Roman" w:cs="Times New Roman" w:eastAsia="Times New Roman" w:hAnsi="Times New Roman"/>
          <w:sz w:val="16"/>
          <w:szCs w:val="16"/>
          <w:color w:val="auto"/>
        </w:rPr>
        <w:t>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02"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9.6.</w:t>
      </w:r>
      <w:r>
        <w:rPr>
          <w:sz w:val="20"/>
          <w:szCs w:val="20"/>
          <w:color w:val="auto"/>
        </w:rPr>
        <w:tab/>
      </w:r>
      <w:r>
        <w:rPr>
          <w:rFonts w:ascii="Times New Roman" w:cs="Times New Roman" w:eastAsia="Times New Roman" w:hAnsi="Times New Roman"/>
          <w:sz w:val="16"/>
          <w:szCs w:val="16"/>
          <w:u w:val="single" w:color="auto"/>
          <w:color w:val="auto"/>
        </w:rPr>
        <w:t>Notation on or Exchange of Securities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160" w:firstLine="985"/>
        <w:spacing w:after="0" w:line="273" w:lineRule="auto"/>
        <w:rPr>
          <w:sz w:val="20"/>
          <w:szCs w:val="20"/>
          <w:color w:val="auto"/>
        </w:rPr>
      </w:pPr>
      <w:r>
        <w:rPr>
          <w:rFonts w:ascii="Times New Roman" w:cs="Times New Roman" w:eastAsia="Times New Roman" w:hAnsi="Times New Roman"/>
          <w:sz w:val="16"/>
          <w:szCs w:val="16"/>
          <w:color w:val="auto"/>
        </w:rPr>
        <w:t>The Company or the Trustee may, but shall not be obligated to,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00"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9.7.</w:t>
      </w:r>
      <w:r>
        <w:rPr>
          <w:sz w:val="20"/>
          <w:szCs w:val="20"/>
          <w:color w:val="auto"/>
        </w:rPr>
        <w:tab/>
      </w:r>
      <w:r>
        <w:rPr>
          <w:rFonts w:ascii="Times New Roman" w:cs="Times New Roman" w:eastAsia="Times New Roman" w:hAnsi="Times New Roman"/>
          <w:sz w:val="16"/>
          <w:szCs w:val="16"/>
          <w:u w:val="single" w:color="auto"/>
          <w:color w:val="auto"/>
        </w:rPr>
        <w:t>Trustee Protected</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260" w:firstLine="985"/>
        <w:spacing w:after="0" w:line="267" w:lineRule="auto"/>
        <w:rPr>
          <w:sz w:val="20"/>
          <w:szCs w:val="20"/>
          <w:color w:val="auto"/>
        </w:rPr>
      </w:pPr>
      <w:r>
        <w:rPr>
          <w:rFonts w:ascii="Times New Roman" w:cs="Times New Roman" w:eastAsia="Times New Roman" w:hAnsi="Times New Roman"/>
          <w:sz w:val="16"/>
          <w:szCs w:val="16"/>
          <w:color w:val="auto"/>
        </w:rPr>
        <w:t>In executing, or accepting the additional trusts created by, any supplemental indenture permitted by this Article or the modifications thereby of the trusts created by this Indenture, the Trustee shall be entitled to receive, upon request, an Officer’s Certificate and/or an Opinion of Counsel complying with Sections 10.4 and 10.5 and (subject to Section 7.1) shall be fully protected in relying upon such Officer’s Certificate and/or Opinion of Counsel.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1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ARTICLE X. MISCELLANEOUS</w:t>
      </w:r>
    </w:p>
    <w:p>
      <w:pPr>
        <w:spacing w:after="0" w:line="155"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10.1.</w:t>
      </w:r>
      <w:r>
        <w:rPr>
          <w:sz w:val="20"/>
          <w:szCs w:val="20"/>
          <w:color w:val="auto"/>
        </w:rPr>
        <w:tab/>
      </w:r>
      <w:r>
        <w:rPr>
          <w:rFonts w:ascii="Times New Roman" w:cs="Times New Roman" w:eastAsia="Times New Roman" w:hAnsi="Times New Roman"/>
          <w:sz w:val="16"/>
          <w:szCs w:val="16"/>
          <w:u w:val="single" w:color="auto"/>
          <w:color w:val="auto"/>
        </w:rPr>
        <w:t>Trust Indenture Act Controls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300" w:firstLine="985"/>
        <w:spacing w:after="0" w:line="307" w:lineRule="auto"/>
        <w:rPr>
          <w:sz w:val="20"/>
          <w:szCs w:val="20"/>
          <w:color w:val="auto"/>
        </w:rPr>
      </w:pPr>
      <w:r>
        <w:rPr>
          <w:rFonts w:ascii="Times New Roman" w:cs="Times New Roman" w:eastAsia="Times New Roman" w:hAnsi="Times New Roman"/>
          <w:sz w:val="16"/>
          <w:szCs w:val="16"/>
          <w:color w:val="auto"/>
        </w:rPr>
        <w:t>If any provision of this Indenture limits, qualifies or conflicts with another provision which is required or deemed to be included in this Indenture by the TIA, such required or deemed provision shall control.</w:t>
      </w:r>
    </w:p>
    <w:p>
      <w:pPr>
        <w:spacing w:after="0" w:line="73"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10.2.</w:t>
      </w:r>
      <w:r>
        <w:rPr>
          <w:sz w:val="20"/>
          <w:szCs w:val="20"/>
          <w:color w:val="auto"/>
        </w:rPr>
        <w:tab/>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right="360" w:firstLine="985"/>
        <w:spacing w:after="0" w:line="273" w:lineRule="auto"/>
        <w:rPr>
          <w:sz w:val="20"/>
          <w:szCs w:val="20"/>
          <w:color w:val="auto"/>
        </w:rPr>
      </w:pPr>
      <w:r>
        <w:rPr>
          <w:rFonts w:ascii="Times New Roman" w:cs="Times New Roman" w:eastAsia="Times New Roman" w:hAnsi="Times New Roman"/>
          <w:sz w:val="16"/>
          <w:szCs w:val="16"/>
          <w:color w:val="auto"/>
        </w:rPr>
        <w:t>Any notice or communication by the Company or the Trustee to the other, or by a Holder to the Company or the Trustee, is duly given if in writing and delivered in person or mailed by first-class mail (registered or certified, return receipt requested), email or overnight air courier guaranteeing next day delivery, to the others’ address: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1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Crescent Biopharma, Inc.</w:t>
      </w:r>
    </w:p>
    <w:p>
      <w:pPr>
        <w:spacing w:after="0" w:line="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300 Fifth Avenue</w:t>
      </w:r>
    </w:p>
    <w:p>
      <w:pPr>
        <w:spacing w:after="0" w:line="1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Waltham, MA 02451</w:t>
      </w:r>
    </w:p>
    <w:p>
      <w:pPr>
        <w:spacing w:after="0" w:line="1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Attention: Chief Executive Officer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1280"/>
          </w:cols>
          <w:pgMar w:left="300" w:top="1114" w:right="319" w:bottom="1440" w:gutter="0" w:footer="0" w:header="0"/>
        </w:sectPr>
      </w:pPr>
    </w:p>
    <w:bookmarkStart w:id="145" w:name="page146"/>
    <w:bookmarkEnd w:id="145"/>
    <w:p>
      <w:pPr>
        <w:ind w:left="1480"/>
        <w:spacing w:after="0"/>
        <w:rPr>
          <w:sz w:val="20"/>
          <w:szCs w:val="20"/>
          <w:color w:val="auto"/>
        </w:rPr>
      </w:pPr>
      <w:r>
        <w:rPr>
          <w:rFonts w:ascii="Times New Roman" w:cs="Times New Roman" w:eastAsia="Times New Roman" w:hAnsi="Times New Roman"/>
          <w:sz w:val="16"/>
          <w:szCs w:val="16"/>
          <w:color w:val="auto"/>
        </w:rPr>
        <w:t>Telephone: (617) 430-5595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a copy to:</w:t>
      </w:r>
    </w:p>
    <w:p>
      <w:pPr>
        <w:spacing w:after="0" w:line="17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Latham &amp; Watkins LLP</w:t>
      </w:r>
    </w:p>
    <w:p>
      <w:pPr>
        <w:spacing w:after="0" w:line="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200 Clarendon Street</w:t>
      </w:r>
    </w:p>
    <w:p>
      <w:pPr>
        <w:spacing w:after="0" w:line="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Boston, MA 02116</w:t>
      </w:r>
    </w:p>
    <w:p>
      <w:pPr>
        <w:spacing w:after="0" w:line="1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Attention: Peter N. Handrinos and Wesley C. Holmes</w:t>
      </w:r>
    </w:p>
    <w:p>
      <w:pPr>
        <w:spacing w:after="0" w:line="1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Telephone: (617) 948-6000</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to the Trustee:</w:t>
      </w:r>
    </w:p>
    <w:p>
      <w:pPr>
        <w:spacing w:after="0" w:line="1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[_____]</w:t>
      </w:r>
    </w:p>
    <w:p>
      <w:pPr>
        <w:spacing w:after="0" w:line="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[_____]</w:t>
      </w:r>
    </w:p>
    <w:p>
      <w:pPr>
        <w:spacing w:after="0" w:line="1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Attention: [____]</w:t>
      </w:r>
    </w:p>
    <w:p>
      <w:pPr>
        <w:spacing w:after="0" w:line="1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Telephone: [____]</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a copy to:</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[_____]</w:t>
      </w:r>
    </w:p>
    <w:p>
      <w:pPr>
        <w:spacing w:after="0" w:line="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[_____]</w:t>
      </w:r>
    </w:p>
    <w:p>
      <w:pPr>
        <w:spacing w:after="0" w:line="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Attention: [____]</w:t>
      </w:r>
    </w:p>
    <w:p>
      <w:pPr>
        <w:spacing w:after="0" w:line="1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Telephone: [____]</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The Company or the Trustee by notice to the other may designate additional or different addresses for subsequent notices or communications.</w:t>
      </w:r>
    </w:p>
    <w:p>
      <w:pPr>
        <w:spacing w:after="0" w:line="175" w:lineRule="exact"/>
        <w:rPr>
          <w:sz w:val="20"/>
          <w:szCs w:val="20"/>
          <w:color w:val="auto"/>
        </w:rPr>
      </w:pPr>
    </w:p>
    <w:p>
      <w:pPr>
        <w:ind w:right="100" w:firstLine="985"/>
        <w:spacing w:after="0" w:line="280" w:lineRule="auto"/>
        <w:rPr>
          <w:sz w:val="20"/>
          <w:szCs w:val="20"/>
          <w:color w:val="auto"/>
        </w:rPr>
      </w:pPr>
      <w:r>
        <w:rPr>
          <w:rFonts w:ascii="Times New Roman" w:cs="Times New Roman" w:eastAsia="Times New Roman" w:hAnsi="Times New Roman"/>
          <w:sz w:val="16"/>
          <w:szCs w:val="16"/>
          <w:color w:val="auto"/>
        </w:rPr>
        <w:t>Any notice or communication to a Holder shall be sent electronically or by first-class mail or overnight air courier to his, her or its address shown on the register kept by the Registrar, in accordance with the procedures of the Depositary. Failure to send a notice or communication to a Holder of any Series or any defect in it shall not affect its sufficiency with respect to other Holders of that or any other Series.</w:t>
      </w:r>
    </w:p>
    <w:p>
      <w:pPr>
        <w:spacing w:after="0" w:line="1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If a notice or communication is sent or published in the manner provided above, within the time prescribed, it is duly given, whether or not the Holder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receives it.</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If the Company sends a notice or communication to Holders, it shall send a copy to the Trustee and each Agent at the same time.</w:t>
      </w:r>
    </w:p>
    <w:p>
      <w:pPr>
        <w:spacing w:after="0" w:line="185" w:lineRule="exact"/>
        <w:rPr>
          <w:sz w:val="20"/>
          <w:szCs w:val="20"/>
          <w:color w:val="auto"/>
        </w:rPr>
      </w:pPr>
    </w:p>
    <w:p>
      <w:pPr>
        <w:ind w:firstLine="985"/>
        <w:spacing w:after="0" w:line="267" w:lineRule="auto"/>
        <w:rPr>
          <w:sz w:val="20"/>
          <w:szCs w:val="20"/>
          <w:color w:val="auto"/>
        </w:rPr>
      </w:pPr>
      <w:r>
        <w:rPr>
          <w:rFonts w:ascii="Times New Roman" w:cs="Times New Roman" w:eastAsia="Times New Roman" w:hAnsi="Times New Roman"/>
          <w:sz w:val="16"/>
          <w:szCs w:val="16"/>
          <w:color w:val="auto"/>
        </w:rPr>
        <w:t>The Trustee shall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1220"/>
          </w:cols>
          <w:pgMar w:left="300" w:top="1114" w:right="379" w:bottom="1440" w:gutter="0" w:footer="0" w:header="0"/>
        </w:sectPr>
      </w:pPr>
    </w:p>
    <w:bookmarkStart w:id="146" w:name="page147"/>
    <w:bookmarkEnd w:id="146"/>
    <w:p>
      <w:pPr>
        <w:jc w:val="both"/>
        <w:ind w:right="180"/>
        <w:spacing w:after="0" w:line="273" w:lineRule="auto"/>
        <w:rPr>
          <w:sz w:val="20"/>
          <w:szCs w:val="20"/>
          <w:color w:val="auto"/>
        </w:rPr>
      </w:pPr>
      <w:r>
        <w:rPr>
          <w:rFonts w:ascii="Times New Roman" w:cs="Times New Roman" w:eastAsia="Times New Roman" w:hAnsi="Times New Roman"/>
          <w:sz w:val="16"/>
          <w:szCs w:val="16"/>
          <w:color w:val="auto"/>
        </w:rPr>
        <w:t>the Trustee) shall be deemed original signatures for all purposes. The Company assumes all risks arising out of the use of electronic signatures and electronic methods to send communications to the Trustee, including without limitation the risk of the Trustee acting on an unauthorized communication, and the risk of interception or misuse by third parties.</w:t>
      </w:r>
    </w:p>
    <w:p>
      <w:pPr>
        <w:spacing w:after="0" w:line="131" w:lineRule="exact"/>
        <w:rPr>
          <w:sz w:val="20"/>
          <w:szCs w:val="20"/>
          <w:color w:val="auto"/>
        </w:rPr>
      </w:pPr>
    </w:p>
    <w:p>
      <w:pPr>
        <w:ind w:right="120" w:firstLine="985"/>
        <w:spacing w:after="0" w:line="273" w:lineRule="auto"/>
        <w:rPr>
          <w:sz w:val="20"/>
          <w:szCs w:val="20"/>
          <w:color w:val="auto"/>
        </w:rPr>
      </w:pPr>
      <w:r>
        <w:rPr>
          <w:rFonts w:ascii="Times New Roman" w:cs="Times New Roman" w:eastAsia="Times New Roman" w:hAnsi="Times New Roman"/>
          <w:sz w:val="16"/>
          <w:szCs w:val="16"/>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00"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10.3.</w:t>
      </w:r>
      <w:r>
        <w:rPr>
          <w:sz w:val="20"/>
          <w:szCs w:val="20"/>
          <w:color w:val="auto"/>
        </w:rPr>
        <w:tab/>
      </w:r>
      <w:r>
        <w:rPr>
          <w:rFonts w:ascii="Times New Roman" w:cs="Times New Roman" w:eastAsia="Times New Roman" w:hAnsi="Times New Roman"/>
          <w:sz w:val="16"/>
          <w:szCs w:val="16"/>
          <w:u w:val="single" w:color="auto"/>
          <w:color w:val="auto"/>
        </w:rPr>
        <w:t>Communication by Holders with Other Holders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20" w:firstLine="985"/>
        <w:spacing w:after="0" w:line="293" w:lineRule="auto"/>
        <w:rPr>
          <w:sz w:val="20"/>
          <w:szCs w:val="20"/>
          <w:color w:val="auto"/>
        </w:rPr>
      </w:pPr>
      <w:r>
        <w:rPr>
          <w:rFonts w:ascii="Times New Roman" w:cs="Times New Roman" w:eastAsia="Times New Roman" w:hAnsi="Times New Roman"/>
          <w:sz w:val="16"/>
          <w:szCs w:val="16"/>
          <w:color w:val="auto"/>
        </w:rPr>
        <w:t>Holders of any Series may communicate pursuant to TIA § 312(b) with other Holders of that Series or any other Series with respect to their rights under this Indenture or the Securities of that Series or all Series. The Company, the Trustee, the Registrar and anyone else shall have the protection of TIA § 312(c).</w:t>
      </w:r>
    </w:p>
    <w:p>
      <w:pPr>
        <w:spacing w:after="0" w:line="9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10.4.</w:t>
      </w:r>
      <w:r>
        <w:rPr>
          <w:sz w:val="20"/>
          <w:szCs w:val="20"/>
          <w:color w:val="auto"/>
        </w:rPr>
        <w:tab/>
      </w:r>
      <w:r>
        <w:rPr>
          <w:rFonts w:ascii="Times New Roman" w:cs="Times New Roman" w:eastAsia="Times New Roman" w:hAnsi="Times New Roman"/>
          <w:sz w:val="16"/>
          <w:szCs w:val="16"/>
          <w:u w:val="single" w:color="auto"/>
          <w:color w:val="auto"/>
        </w:rPr>
        <w:t>Certificate and Opinion as to Conditions Precedent</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Upon any request or application by the Company to the Trustee to take any action under this Indenture, the Company shall furnish to the Trustee:</w:t>
      </w:r>
    </w:p>
    <w:p>
      <w:pPr>
        <w:spacing w:after="0" w:line="155" w:lineRule="exact"/>
        <w:rPr>
          <w:sz w:val="20"/>
          <w:szCs w:val="20"/>
          <w:color w:val="auto"/>
        </w:rPr>
      </w:pPr>
    </w:p>
    <w:p>
      <w:pPr>
        <w:ind w:left="500" w:firstLine="487"/>
        <w:spacing w:after="0" w:line="253" w:lineRule="auto"/>
        <w:tabs>
          <w:tab w:leader="none" w:pos="1544"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Officer’s Certificate stating that, in the opinion of the signers, all conditions precedent, if any, provided for in this Indenture relating to the proposed action have been complied with; and</w:t>
      </w:r>
    </w:p>
    <w:p>
      <w:pPr>
        <w:spacing w:after="0" w:line="10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Opinion of Counsel stating that, in the opinion of such counsel, all such conditions precedent have been complied with.</w:t>
      </w:r>
    </w:p>
    <w:p>
      <w:pPr>
        <w:spacing w:after="0" w:line="14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10.5.</w:t>
      </w:r>
      <w:r>
        <w:rPr>
          <w:sz w:val="20"/>
          <w:szCs w:val="20"/>
          <w:color w:val="auto"/>
        </w:rPr>
        <w:tab/>
      </w:r>
      <w:r>
        <w:rPr>
          <w:rFonts w:ascii="Times New Roman" w:cs="Times New Roman" w:eastAsia="Times New Roman" w:hAnsi="Times New Roman"/>
          <w:sz w:val="16"/>
          <w:szCs w:val="16"/>
          <w:u w:val="single" w:color="auto"/>
          <w:color w:val="auto"/>
        </w:rPr>
        <w:t>Statements Required in Certificate or Opinion</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60" w:firstLine="985"/>
        <w:spacing w:after="0" w:line="293" w:lineRule="auto"/>
        <w:rPr>
          <w:sz w:val="20"/>
          <w:szCs w:val="20"/>
          <w:color w:val="auto"/>
        </w:rPr>
      </w:pPr>
      <w:r>
        <w:rPr>
          <w:rFonts w:ascii="Times New Roman" w:cs="Times New Roman" w:eastAsia="Times New Roman" w:hAnsi="Times New Roman"/>
          <w:sz w:val="16"/>
          <w:szCs w:val="16"/>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84" w:lineRule="exact"/>
        <w:rPr>
          <w:sz w:val="20"/>
          <w:szCs w:val="20"/>
          <w:color w:val="auto"/>
        </w:rPr>
      </w:pPr>
    </w:p>
    <w:p>
      <w:pPr>
        <w:ind w:left="1480" w:hanging="493"/>
        <w:spacing w:after="0"/>
        <w:tabs>
          <w:tab w:leader="none" w:pos="14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statement that the person making such certificate or opinion has read such covenant or condition;</w:t>
      </w:r>
    </w:p>
    <w:p>
      <w:pPr>
        <w:spacing w:after="0" w:line="144" w:lineRule="exact"/>
        <w:rPr>
          <w:rFonts w:ascii="Times New Roman" w:cs="Times New Roman" w:eastAsia="Times New Roman" w:hAnsi="Times New Roman"/>
          <w:sz w:val="16"/>
          <w:szCs w:val="16"/>
          <w:color w:val="auto"/>
        </w:rPr>
      </w:pPr>
    </w:p>
    <w:p>
      <w:pPr>
        <w:ind w:left="500" w:firstLine="487"/>
        <w:spacing w:after="0" w:line="253" w:lineRule="auto"/>
        <w:tabs>
          <w:tab w:leader="none" w:pos="1481"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brief statement as to the nature and scope of the examination or investigation upon which the statements or opinions contained in such certificate or opinion are based;</w:t>
      </w:r>
    </w:p>
    <w:p>
      <w:pPr>
        <w:spacing w:after="0" w:line="104" w:lineRule="exact"/>
        <w:rPr>
          <w:rFonts w:ascii="Times New Roman" w:cs="Times New Roman" w:eastAsia="Times New Roman" w:hAnsi="Times New Roman"/>
          <w:sz w:val="16"/>
          <w:szCs w:val="16"/>
          <w:color w:val="auto"/>
        </w:rPr>
      </w:pPr>
    </w:p>
    <w:p>
      <w:pPr>
        <w:ind w:left="500" w:firstLine="487"/>
        <w:spacing w:after="0" w:line="253" w:lineRule="auto"/>
        <w:tabs>
          <w:tab w:leader="none" w:pos="1523"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statement that, in the opinion of such person, such person has made such examination or investigation as is necessary to enable such person to express an informed opinion as to whether or not such covenant or condition has been complied with; and</w:t>
      </w:r>
    </w:p>
    <w:p>
      <w:pPr>
        <w:spacing w:after="0" w:line="104" w:lineRule="exact"/>
        <w:rPr>
          <w:rFonts w:ascii="Times New Roman" w:cs="Times New Roman" w:eastAsia="Times New Roman" w:hAnsi="Times New Roman"/>
          <w:sz w:val="16"/>
          <w:szCs w:val="16"/>
          <w:color w:val="auto"/>
        </w:rPr>
      </w:pPr>
    </w:p>
    <w:p>
      <w:pPr>
        <w:ind w:left="1480" w:hanging="493"/>
        <w:spacing w:after="0"/>
        <w:tabs>
          <w:tab w:leader="none" w:pos="14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statement as to whether or not, in the opinion of such person, such condition or covenant has been complied with.</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1280"/>
          </w:cols>
          <w:pgMar w:left="300" w:top="1114" w:right="319" w:bottom="1440" w:gutter="0" w:footer="0" w:header="0"/>
        </w:sectPr>
      </w:pPr>
    </w:p>
    <w:bookmarkStart w:id="147" w:name="page148"/>
    <w:bookmarkEnd w:id="147"/>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10.6.</w:t>
      </w:r>
      <w:r>
        <w:rPr>
          <w:sz w:val="20"/>
          <w:szCs w:val="20"/>
          <w:color w:val="auto"/>
        </w:rPr>
        <w:tab/>
      </w:r>
      <w:r>
        <w:rPr>
          <w:rFonts w:ascii="Times New Roman" w:cs="Times New Roman" w:eastAsia="Times New Roman" w:hAnsi="Times New Roman"/>
          <w:sz w:val="16"/>
          <w:szCs w:val="16"/>
          <w:u w:val="single" w:color="auto"/>
          <w:color w:val="auto"/>
        </w:rPr>
        <w:t>Rules by Trustee and Agents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600" w:firstLine="985"/>
        <w:spacing w:after="0" w:line="293" w:lineRule="auto"/>
        <w:rPr>
          <w:sz w:val="20"/>
          <w:szCs w:val="20"/>
          <w:color w:val="auto"/>
        </w:rPr>
      </w:pPr>
      <w:r>
        <w:rPr>
          <w:rFonts w:ascii="Times New Roman" w:cs="Times New Roman" w:eastAsia="Times New Roman" w:hAnsi="Times New Roman"/>
          <w:sz w:val="16"/>
          <w:szCs w:val="16"/>
          <w:color w:val="auto"/>
        </w:rPr>
        <w:t>The Trustee may make reasonable rules for action by or a meeting of Holders of one or more Series. Any Agent may make reasonable rules and set reasonable requirements for its functions.</w:t>
      </w:r>
    </w:p>
    <w:p>
      <w:pPr>
        <w:spacing w:after="0" w:line="8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10.7.</w:t>
      </w:r>
      <w:r>
        <w:rPr>
          <w:sz w:val="20"/>
          <w:szCs w:val="20"/>
          <w:color w:val="auto"/>
        </w:rPr>
        <w:tab/>
      </w:r>
      <w:r>
        <w:rPr>
          <w:rFonts w:ascii="Times New Roman" w:cs="Times New Roman" w:eastAsia="Times New Roman" w:hAnsi="Times New Roman"/>
          <w:sz w:val="16"/>
          <w:szCs w:val="16"/>
          <w:u w:val="single" w:color="auto"/>
          <w:color w:val="auto"/>
        </w:rPr>
        <w:t>Legal Holidays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260" w:firstLine="985"/>
        <w:spacing w:after="0" w:line="307" w:lineRule="auto"/>
        <w:rPr>
          <w:sz w:val="20"/>
          <w:szCs w:val="20"/>
          <w:color w:val="auto"/>
        </w:rPr>
      </w:pPr>
      <w:r>
        <w:rPr>
          <w:rFonts w:ascii="Times New Roman" w:cs="Times New Roman" w:eastAsia="Times New Roman" w:hAnsi="Times New Roman"/>
          <w:sz w:val="16"/>
          <w:szCs w:val="16"/>
          <w:color w:val="auto"/>
        </w:rPr>
        <w:t>If a payment date for any payment made under this Indenture is not a Business Day, payment may be made on the next succeeding Business Day, and no interest shall accrue for the intervening period.</w:t>
      </w:r>
    </w:p>
    <w:p>
      <w:pPr>
        <w:spacing w:after="0" w:line="73"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10.8.</w:t>
      </w:r>
      <w:r>
        <w:rPr>
          <w:sz w:val="20"/>
          <w:szCs w:val="20"/>
          <w:color w:val="auto"/>
        </w:rPr>
        <w:tab/>
      </w:r>
      <w:r>
        <w:rPr>
          <w:rFonts w:ascii="Times New Roman" w:cs="Times New Roman" w:eastAsia="Times New Roman" w:hAnsi="Times New Roman"/>
          <w:sz w:val="16"/>
          <w:szCs w:val="16"/>
          <w:u w:val="single" w:color="auto"/>
          <w:color w:val="auto"/>
        </w:rPr>
        <w:t>No Recourse Against Others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260" w:firstLine="985"/>
        <w:spacing w:after="0" w:line="273" w:lineRule="auto"/>
        <w:rPr>
          <w:sz w:val="20"/>
          <w:szCs w:val="20"/>
          <w:color w:val="auto"/>
        </w:rPr>
      </w:pPr>
      <w:r>
        <w:rPr>
          <w:rFonts w:ascii="Times New Roman" w:cs="Times New Roman" w:eastAsia="Times New Roman" w:hAnsi="Times New Roman"/>
          <w:sz w:val="16"/>
          <w:szCs w:val="16"/>
          <w:color w:val="auto"/>
        </w:rPr>
        <w:t>A director, officer, employee, shareholder or stockholder (past or present), as such, of the Company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spacing w:after="0" w:line="100"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10.9.</w:t>
      </w:r>
      <w:r>
        <w:rPr>
          <w:sz w:val="20"/>
          <w:szCs w:val="20"/>
          <w:color w:val="auto"/>
        </w:rPr>
        <w:tab/>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60" w:firstLine="985"/>
        <w:spacing w:after="0" w:line="267" w:lineRule="auto"/>
        <w:rPr>
          <w:sz w:val="20"/>
          <w:szCs w:val="20"/>
          <w:color w:val="auto"/>
        </w:rPr>
      </w:pPr>
      <w:r>
        <w:rPr>
          <w:rFonts w:ascii="Times New Roman" w:cs="Times New Roman" w:eastAsia="Times New Roman" w:hAnsi="Times New Roman"/>
          <w:sz w:val="16"/>
          <w:szCs w:val="16"/>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w:t>
      </w:r>
    </w:p>
    <w:p>
      <w:pPr>
        <w:spacing w:after="0" w:line="125" w:lineRule="exact"/>
        <w:rPr>
          <w:sz w:val="20"/>
          <w:szCs w:val="20"/>
          <w:color w:val="auto"/>
        </w:rPr>
      </w:pPr>
    </w:p>
    <w:p>
      <w:pPr>
        <w:ind w:firstLine="985"/>
        <w:spacing w:after="0" w:line="264" w:lineRule="auto"/>
        <w:rPr>
          <w:sz w:val="20"/>
          <w:szCs w:val="20"/>
          <w:color w:val="auto"/>
        </w:rPr>
      </w:pPr>
      <w:r>
        <w:rPr>
          <w:rFonts w:ascii="Times New Roman" w:cs="Times New Roman" w:eastAsia="Times New Roman" w:hAnsi="Times New Roman"/>
          <w:sz w:val="16"/>
          <w:szCs w:val="16"/>
          <w:color w:val="auto"/>
        </w:rPr>
        <w:t>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w:t>
      </w:r>
    </w:p>
    <w:p>
      <w:pPr>
        <w:spacing w:after="0" w:line="109"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10.10.</w:t>
      </w:r>
      <w:r>
        <w:rPr>
          <w:sz w:val="20"/>
          <w:szCs w:val="20"/>
          <w:color w:val="auto"/>
        </w:rPr>
        <w:tab/>
      </w:r>
      <w:r>
        <w:rPr>
          <w:rFonts w:ascii="Times New Roman" w:cs="Times New Roman" w:eastAsia="Times New Roman" w:hAnsi="Times New Roman"/>
          <w:sz w:val="16"/>
          <w:szCs w:val="16"/>
          <w:u w:val="single" w:color="auto"/>
          <w:color w:val="auto"/>
        </w:rPr>
        <w:t>Governing Law; Waiver of Jury Trial; Consent to Jurisdiction</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right="120" w:firstLine="985"/>
        <w:spacing w:after="0" w:line="312" w:lineRule="auto"/>
        <w:rPr>
          <w:sz w:val="20"/>
          <w:szCs w:val="20"/>
          <w:color w:val="auto"/>
        </w:rPr>
      </w:pPr>
      <w:r>
        <w:rPr>
          <w:rFonts w:ascii="Times New Roman" w:cs="Times New Roman" w:eastAsia="Times New Roman" w:hAnsi="Times New Roman"/>
          <w:sz w:val="16"/>
          <w:szCs w:val="16"/>
          <w:b w:val="1"/>
          <w:bCs w:val="1"/>
          <w:color w:val="auto"/>
        </w:rPr>
        <w:t>THIS INDENTURE AND THE SECURITIES, INCLUDING ANY CLAIM OR CONTROVERSY ARISING OUT OF OR RELATING TO THE INDENTURE OR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1260"/>
          </w:cols>
          <w:pgMar w:left="300" w:top="1093"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b w:val="1"/>
          <w:bCs w:val="1"/>
          <w:color w:val="auto"/>
        </w:rPr>
        <w:t>THE SECURITIES, SHALL BE GOVERNED BY THE LAWS OF THE STATE OF NEW YORK.</w:t>
      </w:r>
    </w:p>
    <w:p>
      <w:pPr>
        <w:spacing w:after="0" w:line="175" w:lineRule="exact"/>
        <w:rPr>
          <w:sz w:val="20"/>
          <w:szCs w:val="20"/>
          <w:color w:val="auto"/>
        </w:rPr>
      </w:pPr>
    </w:p>
    <w:p>
      <w:pPr>
        <w:ind w:right="260" w:firstLine="985"/>
        <w:spacing w:after="0" w:line="273" w:lineRule="auto"/>
        <w:rPr>
          <w:sz w:val="20"/>
          <w:szCs w:val="20"/>
          <w:color w:val="auto"/>
        </w:rPr>
      </w:pPr>
      <w:r>
        <w:rPr>
          <w:rFonts w:ascii="Times New Roman" w:cs="Times New Roman" w:eastAsia="Times New Roman" w:hAnsi="Times New Roman"/>
          <w:sz w:val="16"/>
          <w:szCs w:val="16"/>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121" w:lineRule="exact"/>
        <w:rPr>
          <w:sz w:val="20"/>
          <w:szCs w:val="20"/>
          <w:color w:val="auto"/>
        </w:rPr>
      </w:pPr>
    </w:p>
    <w:p>
      <w:pPr>
        <w:ind w:right="80" w:firstLine="985"/>
        <w:spacing w:after="0" w:line="261" w:lineRule="auto"/>
        <w:rPr>
          <w:sz w:val="20"/>
          <w:szCs w:val="20"/>
          <w:color w:val="auto"/>
        </w:rPr>
      </w:pPr>
      <w:r>
        <w:rPr>
          <w:rFonts w:ascii="Times New Roman" w:cs="Times New Roman" w:eastAsia="Times New Roman" w:hAnsi="Times New Roman"/>
          <w:sz w:val="16"/>
          <w:szCs w:val="16"/>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6"/>
          <w:szCs w:val="16"/>
          <w:i w:val="1"/>
          <w:iCs w:val="1"/>
          <w:color w:val="auto"/>
        </w:rPr>
        <w:t>Specified Courts</w:t>
      </w:r>
      <w:r>
        <w:rPr>
          <w:rFonts w:ascii="Times New Roman" w:cs="Times New Roman" w:eastAsia="Times New Roman" w:hAnsi="Times New Roman"/>
          <w:sz w:val="16"/>
          <w:szCs w:val="16"/>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hereby irrevocably appoints [______] as its authorized agent (the “</w:t>
      </w:r>
      <w:r>
        <w:rPr>
          <w:rFonts w:ascii="Times New Roman" w:cs="Times New Roman" w:eastAsia="Times New Roman" w:hAnsi="Times New Roman"/>
          <w:sz w:val="16"/>
          <w:szCs w:val="16"/>
          <w:i w:val="1"/>
          <w:iCs w:val="1"/>
          <w:color w:val="auto"/>
        </w:rPr>
        <w:t>Process</w:t>
      </w:r>
    </w:p>
    <w:p>
      <w:pPr>
        <w:spacing w:after="0" w:line="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i w:val="1"/>
          <w:iCs w:val="1"/>
          <w:color w:val="auto"/>
        </w:rPr>
        <w:t>Agent</w:t>
      </w:r>
      <w:r>
        <w:rPr>
          <w:rFonts w:ascii="Times New Roman" w:cs="Times New Roman" w:eastAsia="Times New Roman" w:hAnsi="Times New Roman"/>
          <w:sz w:val="16"/>
          <w:szCs w:val="16"/>
          <w:color w:val="auto"/>
        </w:rPr>
        <w:t>”) upon which process may be served in any suit, action or proceeding arising out of or relating to this Indenture or the Securities which may be instituted in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Specified Court, and agrees that service of process upon such Process Agent shall be deemed in every respect effective service of process upon the Company in any such suit, action or proceeding. The Company further agrees to take any and all action, including the filing of any and all documents and instruments, that may be necessary to continue such designation and appointment of such Process Agent in full force and effect. If for any reason the Process Agent shall cease to be available to act as such, the Company agrees to designate a new Process Agent in the Borough of Manhattan, The City of New York, on the terms and for the purposes of this Section 10.10.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13" w:lineRule="exact"/>
        <w:rPr>
          <w:sz w:val="20"/>
          <w:szCs w:val="20"/>
          <w:color w:val="auto"/>
        </w:rPr>
      </w:pPr>
    </w:p>
    <w:p>
      <w:pPr>
        <w:ind w:left="740"/>
        <w:spacing w:after="0"/>
        <w:tabs>
          <w:tab w:leader="none" w:pos="1940" w:val="left"/>
        </w:tabs>
        <w:rPr>
          <w:sz w:val="20"/>
          <w:szCs w:val="20"/>
          <w:color w:val="auto"/>
        </w:rPr>
      </w:pPr>
      <w:r>
        <w:rPr>
          <w:rFonts w:ascii="Times New Roman" w:cs="Times New Roman" w:eastAsia="Times New Roman" w:hAnsi="Times New Roman"/>
          <w:sz w:val="16"/>
          <w:szCs w:val="16"/>
          <w:color w:val="auto"/>
        </w:rPr>
        <w:t>Section 10.11.</w:t>
      </w:r>
      <w:r>
        <w:rPr>
          <w:sz w:val="20"/>
          <w:szCs w:val="20"/>
          <w:color w:val="auto"/>
        </w:rPr>
        <w:tab/>
      </w:r>
      <w:r>
        <w:rPr>
          <w:rFonts w:ascii="Times New Roman" w:cs="Times New Roman" w:eastAsia="Times New Roman" w:hAnsi="Times New Roman"/>
          <w:sz w:val="16"/>
          <w:szCs w:val="16"/>
          <w:u w:val="single" w:color="auto"/>
          <w:color w:val="auto"/>
        </w:rPr>
        <w:t>No Adverse Interpretation of Other Agreements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firstLine="985"/>
        <w:spacing w:after="0" w:line="307" w:lineRule="auto"/>
        <w:rPr>
          <w:sz w:val="20"/>
          <w:szCs w:val="20"/>
          <w:color w:val="auto"/>
        </w:rPr>
      </w:pPr>
      <w:r>
        <w:rPr>
          <w:rFonts w:ascii="Times New Roman" w:cs="Times New Roman" w:eastAsia="Times New Roman" w:hAnsi="Times New Roman"/>
          <w:sz w:val="16"/>
          <w:szCs w:val="16"/>
          <w:color w:val="auto"/>
        </w:rPr>
        <w:t>This Indenture may not be used to interpret another indenture, loan or debt agreement of the Company or a Subsidiary of the Company. Any such indenture, loan or debt agreement may not be used to interpret this Indenture.</w:t>
      </w:r>
    </w:p>
    <w:p>
      <w:pPr>
        <w:spacing w:after="0" w:line="73"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10.12.</w:t>
      </w:r>
      <w:r>
        <w:rPr>
          <w:sz w:val="20"/>
          <w:szCs w:val="20"/>
          <w:color w:val="auto"/>
        </w:rPr>
        <w:tab/>
      </w:r>
      <w:r>
        <w:rPr>
          <w:rFonts w:ascii="Times New Roman" w:cs="Times New Roman" w:eastAsia="Times New Roman" w:hAnsi="Times New Roman"/>
          <w:sz w:val="16"/>
          <w:szCs w:val="16"/>
          <w:u w:val="single" w:color="auto"/>
          <w:color w:val="auto"/>
        </w:rPr>
        <w:t>Successors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All agreements of the Company in this Indenture and the Securities shall bind its successor. All agreements of the Trustee in this Indenture shall bind 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successor.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1240"/>
          </w:cols>
          <w:pgMar w:left="300" w:top="1110" w:right="359" w:bottom="1440" w:gutter="0" w:footer="0" w:header="0"/>
        </w:sectPr>
      </w:pPr>
    </w:p>
    <w:bookmarkStart w:id="149" w:name="page150"/>
    <w:bookmarkEnd w:id="149"/>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10.13.</w:t>
      </w:r>
      <w:r>
        <w:rPr>
          <w:sz w:val="20"/>
          <w:szCs w:val="20"/>
          <w:color w:val="auto"/>
        </w:rPr>
        <w:tab/>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20" w:firstLine="985"/>
        <w:spacing w:after="0" w:line="293" w:lineRule="auto"/>
        <w:rPr>
          <w:sz w:val="20"/>
          <w:szCs w:val="20"/>
          <w:color w:val="auto"/>
        </w:rPr>
      </w:pPr>
      <w:r>
        <w:rPr>
          <w:rFonts w:ascii="Times New Roman" w:cs="Times New Roman" w:eastAsia="Times New Roman" w:hAnsi="Times New Roman"/>
          <w:sz w:val="16"/>
          <w:szCs w:val="16"/>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8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10.14.</w:t>
      </w:r>
      <w:r>
        <w:rPr>
          <w:sz w:val="20"/>
          <w:szCs w:val="20"/>
          <w:color w:val="auto"/>
        </w:rPr>
        <w:tab/>
      </w:r>
      <w:r>
        <w:rPr>
          <w:rFonts w:ascii="Times New Roman" w:cs="Times New Roman" w:eastAsia="Times New Roman" w:hAnsi="Times New Roman"/>
          <w:sz w:val="16"/>
          <w:szCs w:val="16"/>
          <w:u w:val="single" w:color="auto"/>
          <w:color w:val="auto"/>
        </w:rPr>
        <w:t>Table of Contents, Headings, Etc</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20" w:firstLine="985"/>
        <w:spacing w:after="0" w:line="307" w:lineRule="auto"/>
        <w:rPr>
          <w:sz w:val="20"/>
          <w:szCs w:val="20"/>
          <w:color w:val="auto"/>
        </w:rPr>
      </w:pPr>
      <w:r>
        <w:rPr>
          <w:rFonts w:ascii="Times New Roman" w:cs="Times New Roman" w:eastAsia="Times New Roman" w:hAnsi="Times New Roman"/>
          <w:sz w:val="16"/>
          <w:szCs w:val="16"/>
          <w:color w:val="auto"/>
        </w:rPr>
        <w:t>The Table of Contents, Cross Reference Table, headings of the Articles and Sections of this Indenture have been inserted for convenience of reference only, are not to be considered a part hereof and shall in no way modify or restrict any of the terms or provisions hereof.</w:t>
      </w:r>
    </w:p>
    <w:p>
      <w:pPr>
        <w:spacing w:after="0" w:line="73"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10.15.</w:t>
      </w:r>
      <w:r>
        <w:rPr>
          <w:sz w:val="20"/>
          <w:szCs w:val="20"/>
          <w:color w:val="auto"/>
        </w:rPr>
        <w:tab/>
      </w:r>
      <w:r>
        <w:rPr>
          <w:rFonts w:ascii="Times New Roman" w:cs="Times New Roman" w:eastAsia="Times New Roman" w:hAnsi="Times New Roman"/>
          <w:sz w:val="16"/>
          <w:szCs w:val="16"/>
          <w:u w:val="single" w:color="auto"/>
          <w:color w:val="auto"/>
        </w:rPr>
        <w:t>Securities in a Foreign Currency</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firstLine="985"/>
        <w:spacing w:after="0" w:line="261" w:lineRule="auto"/>
        <w:rPr>
          <w:sz w:val="20"/>
          <w:szCs w:val="20"/>
          <w:color w:val="auto"/>
        </w:rPr>
      </w:pPr>
      <w:r>
        <w:rPr>
          <w:rFonts w:ascii="Times New Roman" w:cs="Times New Roman" w:eastAsia="Times New Roman" w:hAnsi="Times New Roman"/>
          <w:sz w:val="16"/>
          <w:szCs w:val="16"/>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328" w:lineRule="exact"/>
        <w:rPr>
          <w:sz w:val="20"/>
          <w:szCs w:val="20"/>
          <w:color w:val="auto"/>
        </w:rPr>
      </w:pPr>
    </w:p>
    <w:p>
      <w:pPr>
        <w:ind w:right="660" w:firstLine="985"/>
        <w:spacing w:after="0" w:line="293" w:lineRule="auto"/>
        <w:rPr>
          <w:sz w:val="20"/>
          <w:szCs w:val="20"/>
          <w:color w:val="auto"/>
        </w:rPr>
      </w:pPr>
      <w:r>
        <w:rPr>
          <w:rFonts w:ascii="Times New Roman" w:cs="Times New Roman" w:eastAsia="Times New Roman" w:hAnsi="Times New Roman"/>
          <w:sz w:val="16"/>
          <w:szCs w:val="16"/>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84"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10.16.</w:t>
      </w:r>
      <w:r>
        <w:rPr>
          <w:sz w:val="20"/>
          <w:szCs w:val="20"/>
          <w:color w:val="auto"/>
        </w:rPr>
        <w:tab/>
      </w:r>
      <w:r>
        <w:rPr>
          <w:rFonts w:ascii="Times New Roman" w:cs="Times New Roman" w:eastAsia="Times New Roman" w:hAnsi="Times New Roman"/>
          <w:sz w:val="16"/>
          <w:szCs w:val="16"/>
          <w:u w:val="single" w:color="auto"/>
          <w:color w:val="auto"/>
        </w:rPr>
        <w:t>Judgment Currency</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40" w:firstLine="985"/>
        <w:spacing w:after="0" w:line="271" w:lineRule="auto"/>
        <w:rPr>
          <w:sz w:val="20"/>
          <w:szCs w:val="20"/>
          <w:color w:val="auto"/>
        </w:rPr>
      </w:pPr>
      <w:r>
        <w:rPr>
          <w:rFonts w:ascii="Times New Roman" w:cs="Times New Roman" w:eastAsia="Times New Roman" w:hAnsi="Times New Roman"/>
          <w:sz w:val="16"/>
          <w:szCs w:val="16"/>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6"/>
          <w:szCs w:val="16"/>
          <w:i w:val="1"/>
          <w:iCs w:val="1"/>
          <w:color w:val="auto"/>
        </w:rPr>
        <w:t>Required Currency</w:t>
      </w:r>
      <w:r>
        <w:rPr>
          <w:rFonts w:ascii="Times New Roman" w:cs="Times New Roman" w:eastAsia="Times New Roman" w:hAnsi="Times New Roman"/>
          <w:sz w:val="16"/>
          <w:szCs w:val="16"/>
          <w:color w:val="auto"/>
        </w:rPr>
        <w:t>”) into a currency in which a judgment will be rendered (the “</w:t>
      </w:r>
      <w:r>
        <w:rPr>
          <w:rFonts w:ascii="Times New Roman" w:cs="Times New Roman" w:eastAsia="Times New Roman" w:hAnsi="Times New Roman"/>
          <w:sz w:val="16"/>
          <w:szCs w:val="16"/>
          <w:i w:val="1"/>
          <w:iCs w:val="1"/>
          <w:color w:val="auto"/>
        </w:rPr>
        <w:t>Judgment Currency</w:t>
      </w:r>
      <w:r>
        <w:rPr>
          <w:rFonts w:ascii="Times New Roman" w:cs="Times New Roman" w:eastAsia="Times New Roman" w:hAnsi="Times New Roman"/>
          <w:sz w:val="16"/>
          <w:szCs w:val="16"/>
          <w:color w:val="auto"/>
        </w:rPr>
        <w:t>”), the rate of exchange used shall be the rate at which in accordance with normal banking procedures the Trustee could purchase in the City of New York the Required Currency with the Judgment Currency on the day on which final unappealable judgment is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1220"/>
          </w:cols>
          <w:pgMar w:left="300" w:top="1093" w:right="379" w:bottom="1440" w:gutter="0" w:footer="0" w:header="0"/>
        </w:sectPr>
      </w:pPr>
    </w:p>
    <w:bookmarkStart w:id="150" w:name="page151"/>
    <w:bookmarkEnd w:id="150"/>
    <w:p>
      <w:pPr>
        <w:spacing w:after="0" w:line="262" w:lineRule="auto"/>
        <w:rPr>
          <w:sz w:val="20"/>
          <w:szCs w:val="20"/>
          <w:color w:val="auto"/>
        </w:rPr>
      </w:pPr>
      <w:r>
        <w:rPr>
          <w:rFonts w:ascii="Times New Roman" w:cs="Times New Roman" w:eastAsia="Times New Roman" w:hAnsi="Times New Roman"/>
          <w:sz w:val="16"/>
          <w:szCs w:val="16"/>
          <w:color w:val="auto"/>
        </w:rPr>
        <w:t>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6"/>
          <w:szCs w:val="16"/>
          <w:i w:val="1"/>
          <w:iCs w:val="1"/>
          <w:color w:val="auto"/>
        </w:rPr>
        <w:t>New York Banking Day</w:t>
      </w:r>
      <w:r>
        <w:rPr>
          <w:rFonts w:ascii="Times New Roman" w:cs="Times New Roman" w:eastAsia="Times New Roman" w:hAnsi="Times New Roman"/>
          <w:sz w:val="16"/>
          <w:szCs w:val="16"/>
          <w:color w:val="auto"/>
        </w:rPr>
        <w:t>” means any day except a Saturday, Sunday or a legal holiday in the City of New York on which banking institutions are authorized or required by law, regulation or executive order to close.</w:t>
      </w:r>
    </w:p>
    <w:p>
      <w:pPr>
        <w:spacing w:after="0" w:line="111"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10.17.</w:t>
      </w:r>
      <w:r>
        <w:rPr>
          <w:sz w:val="20"/>
          <w:szCs w:val="20"/>
          <w:color w:val="auto"/>
        </w:rPr>
        <w:tab/>
      </w:r>
      <w:r>
        <w:rPr>
          <w:rFonts w:ascii="Times New Roman" w:cs="Times New Roman" w:eastAsia="Times New Roman" w:hAnsi="Times New Roman"/>
          <w:sz w:val="16"/>
          <w:szCs w:val="16"/>
          <w:u w:val="single" w:color="auto"/>
          <w:color w:val="auto"/>
        </w:rPr>
        <w:t>Force Majeure</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180" w:firstLine="985"/>
        <w:spacing w:after="0" w:line="264" w:lineRule="auto"/>
        <w:rPr>
          <w:sz w:val="20"/>
          <w:szCs w:val="20"/>
          <w:color w:val="auto"/>
        </w:rPr>
      </w:pPr>
      <w:r>
        <w:rPr>
          <w:rFonts w:ascii="Times New Roman" w:cs="Times New Roman" w:eastAsia="Times New Roman" w:hAnsi="Times New Roman"/>
          <w:sz w:val="16"/>
          <w:szCs w:val="16"/>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pandemics, epidemics or other public health emergencies,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16" w:lineRule="exact"/>
        <w:rPr>
          <w:sz w:val="20"/>
          <w:szCs w:val="20"/>
          <w:color w:val="auto"/>
        </w:rPr>
      </w:pPr>
    </w:p>
    <w:p>
      <w:pPr>
        <w:ind w:left="740"/>
        <w:spacing w:after="0"/>
        <w:tabs>
          <w:tab w:leader="none" w:pos="1960" w:val="left"/>
        </w:tabs>
        <w:rPr>
          <w:sz w:val="20"/>
          <w:szCs w:val="20"/>
          <w:color w:val="auto"/>
        </w:rPr>
      </w:pPr>
      <w:r>
        <w:rPr>
          <w:rFonts w:ascii="Times New Roman" w:cs="Times New Roman" w:eastAsia="Times New Roman" w:hAnsi="Times New Roman"/>
          <w:sz w:val="16"/>
          <w:szCs w:val="16"/>
          <w:color w:val="auto"/>
        </w:rPr>
        <w:t>Section 10.18.</w:t>
      </w:r>
      <w:r>
        <w:rPr>
          <w:sz w:val="20"/>
          <w:szCs w:val="20"/>
          <w:color w:val="auto"/>
        </w:rPr>
        <w:tab/>
      </w:r>
      <w:r>
        <w:rPr>
          <w:rFonts w:ascii="Times New Roman" w:cs="Times New Roman" w:eastAsia="Times New Roman" w:hAnsi="Times New Roman"/>
          <w:sz w:val="16"/>
          <w:szCs w:val="16"/>
          <w:u w:val="single" w:color="auto"/>
          <w:color w:val="auto"/>
        </w:rPr>
        <w:t>U.S.A. Patriot Act</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40" w:firstLine="985"/>
        <w:spacing w:after="0" w:line="273" w:lineRule="auto"/>
        <w:rPr>
          <w:sz w:val="20"/>
          <w:szCs w:val="20"/>
          <w:color w:val="auto"/>
        </w:rPr>
      </w:pPr>
      <w:r>
        <w:rPr>
          <w:rFonts w:ascii="Times New Roman" w:cs="Times New Roman" w:eastAsia="Times New Roman" w:hAnsi="Times New Roman"/>
          <w:sz w:val="16"/>
          <w:szCs w:val="16"/>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2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ARTICLE XI. SINKING FUNDS</w:t>
      </w:r>
    </w:p>
    <w:p>
      <w:pPr>
        <w:spacing w:after="0" w:line="155" w:lineRule="exact"/>
        <w:rPr>
          <w:sz w:val="20"/>
          <w:szCs w:val="20"/>
          <w:color w:val="auto"/>
        </w:rPr>
      </w:pPr>
    </w:p>
    <w:p>
      <w:pPr>
        <w:ind w:left="740"/>
        <w:spacing w:after="0"/>
        <w:tabs>
          <w:tab w:leader="none" w:pos="1940" w:val="left"/>
        </w:tabs>
        <w:rPr>
          <w:sz w:val="20"/>
          <w:szCs w:val="20"/>
          <w:color w:val="auto"/>
        </w:rPr>
      </w:pPr>
      <w:r>
        <w:rPr>
          <w:rFonts w:ascii="Times New Roman" w:cs="Times New Roman" w:eastAsia="Times New Roman" w:hAnsi="Times New Roman"/>
          <w:sz w:val="16"/>
          <w:szCs w:val="16"/>
          <w:color w:val="auto"/>
        </w:rPr>
        <w:t>Section 11.1.</w:t>
      </w:r>
      <w:r>
        <w:rPr>
          <w:sz w:val="20"/>
          <w:szCs w:val="20"/>
          <w:color w:val="auto"/>
        </w:rPr>
        <w:tab/>
      </w:r>
      <w:r>
        <w:rPr>
          <w:rFonts w:ascii="Times New Roman" w:cs="Times New Roman" w:eastAsia="Times New Roman" w:hAnsi="Times New Roman"/>
          <w:sz w:val="16"/>
          <w:szCs w:val="16"/>
          <w:u w:val="single" w:color="auto"/>
          <w:color w:val="auto"/>
        </w:rPr>
        <w:t>Applicability of Article</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320" w:firstLine="985"/>
        <w:spacing w:after="0" w:line="307" w:lineRule="auto"/>
        <w:rPr>
          <w:sz w:val="20"/>
          <w:szCs w:val="20"/>
          <w:color w:val="auto"/>
        </w:rPr>
      </w:pPr>
      <w:r>
        <w:rPr>
          <w:rFonts w:ascii="Times New Roman" w:cs="Times New Roman" w:eastAsia="Times New Roman" w:hAnsi="Times New Roman"/>
          <w:sz w:val="16"/>
          <w:szCs w:val="16"/>
          <w:color w:val="auto"/>
        </w:rPr>
        <w:t>The provisions of this Article shall be applicable to any sinking fund for the retirement of the Securities of a Series if so provided by the terms of such Securities pursuant to Section 2.2, except as otherwise permitted or required by any form of Security of such Series issued pursuant to this Indenture.</w:t>
      </w:r>
    </w:p>
    <w:p>
      <w:pPr>
        <w:spacing w:after="0" w:line="91" w:lineRule="exact"/>
        <w:rPr>
          <w:sz w:val="20"/>
          <w:szCs w:val="20"/>
          <w:color w:val="auto"/>
        </w:rPr>
      </w:pPr>
    </w:p>
    <w:p>
      <w:pPr>
        <w:ind w:right="120" w:firstLine="985"/>
        <w:spacing w:after="0" w:line="296" w:lineRule="auto"/>
        <w:rPr>
          <w:sz w:val="20"/>
          <w:szCs w:val="20"/>
          <w:color w:val="auto"/>
        </w:rPr>
      </w:pPr>
      <w:r>
        <w:rPr>
          <w:rFonts w:ascii="Times New Roman" w:cs="Times New Roman" w:eastAsia="Times New Roman" w:hAnsi="Times New Roman"/>
          <w:sz w:val="16"/>
          <w:szCs w:val="16"/>
          <w:color w:val="auto"/>
        </w:rPr>
        <w:t>The minimum amount of any sinking fund payment provided for by the terms of the Securities of any Series is herein referred to as a “</w:t>
      </w:r>
      <w:r>
        <w:rPr>
          <w:rFonts w:ascii="Times New Roman" w:cs="Times New Roman" w:eastAsia="Times New Roman" w:hAnsi="Times New Roman"/>
          <w:sz w:val="16"/>
          <w:szCs w:val="16"/>
          <w:i w:val="1"/>
          <w:iCs w:val="1"/>
          <w:color w:val="auto"/>
        </w:rPr>
        <w:t>mandatory sinking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fund payment</w:t>
      </w:r>
      <w:r>
        <w:rPr>
          <w:rFonts w:ascii="Times New Roman" w:cs="Times New Roman" w:eastAsia="Times New Roman" w:hAnsi="Times New Roman"/>
          <w:sz w:val="16"/>
          <w:szCs w:val="16"/>
          <w:color w:val="auto"/>
        </w:rPr>
        <w:t>” and any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1180"/>
          </w:cols>
          <w:pgMar w:left="300" w:top="1114" w:right="419" w:bottom="1440" w:gutter="0" w:footer="0" w:header="0"/>
        </w:sectPr>
      </w:pPr>
    </w:p>
    <w:bookmarkStart w:id="151" w:name="page152"/>
    <w:bookmarkEnd w:id="151"/>
    <w:p>
      <w:pPr>
        <w:spacing w:after="0" w:line="275" w:lineRule="auto"/>
        <w:rPr>
          <w:sz w:val="20"/>
          <w:szCs w:val="20"/>
          <w:color w:val="auto"/>
        </w:rPr>
      </w:pPr>
      <w:r>
        <w:rPr>
          <w:rFonts w:ascii="Times New Roman" w:cs="Times New Roman" w:eastAsia="Times New Roman" w:hAnsi="Times New Roman"/>
          <w:sz w:val="16"/>
          <w:szCs w:val="16"/>
          <w:color w:val="auto"/>
        </w:rPr>
        <w:t>other amount provided for by the terms of Securities of such Series is herein referred to as an “</w:t>
      </w:r>
      <w:r>
        <w:rPr>
          <w:rFonts w:ascii="Times New Roman" w:cs="Times New Roman" w:eastAsia="Times New Roman" w:hAnsi="Times New Roman"/>
          <w:sz w:val="16"/>
          <w:szCs w:val="16"/>
          <w:i w:val="1"/>
          <w:iCs w:val="1"/>
          <w:color w:val="auto"/>
        </w:rPr>
        <w:t>optional sinking fund payment</w:t>
      </w:r>
      <w:r>
        <w:rPr>
          <w:rFonts w:ascii="Times New Roman" w:cs="Times New Roman" w:eastAsia="Times New Roman" w:hAnsi="Times New Roman"/>
          <w:sz w:val="16"/>
          <w:szCs w:val="16"/>
          <w:color w:val="auto"/>
        </w:rPr>
        <w: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108" w:lineRule="exact"/>
        <w:rPr>
          <w:sz w:val="20"/>
          <w:szCs w:val="20"/>
          <w:color w:val="auto"/>
        </w:rPr>
      </w:pPr>
    </w:p>
    <w:p>
      <w:pPr>
        <w:ind w:left="740"/>
        <w:spacing w:after="0"/>
        <w:tabs>
          <w:tab w:leader="none" w:pos="1940" w:val="left"/>
        </w:tabs>
        <w:rPr>
          <w:sz w:val="20"/>
          <w:szCs w:val="20"/>
          <w:color w:val="auto"/>
        </w:rPr>
      </w:pPr>
      <w:r>
        <w:rPr>
          <w:rFonts w:ascii="Times New Roman" w:cs="Times New Roman" w:eastAsia="Times New Roman" w:hAnsi="Times New Roman"/>
          <w:sz w:val="16"/>
          <w:szCs w:val="16"/>
          <w:color w:val="auto"/>
        </w:rPr>
        <w:t>Section 11.2.</w:t>
      </w:r>
      <w:r>
        <w:rPr>
          <w:sz w:val="20"/>
          <w:szCs w:val="20"/>
          <w:color w:val="auto"/>
        </w:rPr>
        <w:tab/>
      </w:r>
      <w:r>
        <w:rPr>
          <w:rFonts w:ascii="Times New Roman" w:cs="Times New Roman" w:eastAsia="Times New Roman" w:hAnsi="Times New Roman"/>
          <w:sz w:val="16"/>
          <w:szCs w:val="16"/>
          <w:u w:val="single" w:color="auto"/>
          <w:color w:val="auto"/>
        </w:rPr>
        <w:t>Satisfaction of Sinking Fund Payments with Securities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firstLine="985"/>
        <w:spacing w:after="0" w:line="259" w:lineRule="auto"/>
        <w:rPr>
          <w:sz w:val="20"/>
          <w:szCs w:val="20"/>
          <w:color w:val="auto"/>
        </w:rPr>
      </w:pPr>
      <w:r>
        <w:rPr>
          <w:rFonts w:ascii="Times New Roman" w:cs="Times New Roman" w:eastAsia="Times New Roman" w:hAnsi="Times New Roman"/>
          <w:sz w:val="16"/>
          <w:szCs w:val="16"/>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13" w:lineRule="exact"/>
        <w:rPr>
          <w:sz w:val="20"/>
          <w:szCs w:val="20"/>
          <w:color w:val="auto"/>
        </w:rPr>
      </w:pPr>
    </w:p>
    <w:p>
      <w:pPr>
        <w:ind w:left="740"/>
        <w:spacing w:after="0"/>
        <w:tabs>
          <w:tab w:leader="none" w:pos="1940" w:val="left"/>
        </w:tabs>
        <w:rPr>
          <w:sz w:val="20"/>
          <w:szCs w:val="20"/>
          <w:color w:val="auto"/>
        </w:rPr>
      </w:pPr>
      <w:r>
        <w:rPr>
          <w:rFonts w:ascii="Times New Roman" w:cs="Times New Roman" w:eastAsia="Times New Roman" w:hAnsi="Times New Roman"/>
          <w:sz w:val="16"/>
          <w:szCs w:val="16"/>
          <w:color w:val="auto"/>
        </w:rPr>
        <w:t>Section 11.3.</w:t>
      </w:r>
      <w:r>
        <w:rPr>
          <w:sz w:val="20"/>
          <w:szCs w:val="20"/>
          <w:color w:val="auto"/>
        </w:rPr>
        <w:tab/>
      </w:r>
      <w:r>
        <w:rPr>
          <w:rFonts w:ascii="Times New Roman" w:cs="Times New Roman" w:eastAsia="Times New Roman" w:hAnsi="Times New Roman"/>
          <w:sz w:val="16"/>
          <w:szCs w:val="16"/>
          <w:u w:val="single" w:color="auto"/>
          <w:color w:val="auto"/>
        </w:rPr>
        <w:t>Redemption of Securities for Sinking Fund</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180" w:firstLine="985"/>
        <w:spacing w:after="0" w:line="264" w:lineRule="auto"/>
        <w:rPr>
          <w:sz w:val="20"/>
          <w:szCs w:val="20"/>
          <w:color w:val="auto"/>
        </w:rPr>
      </w:pPr>
      <w:r>
        <w:rPr>
          <w:rFonts w:ascii="Times New Roman" w:cs="Times New Roman" w:eastAsia="Times New Roman" w:hAnsi="Times New Roman"/>
          <w:sz w:val="16"/>
          <w:szCs w:val="16"/>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1240"/>
          </w:cols>
          <w:pgMar w:left="300" w:top="1112" w:right="359" w:bottom="1440" w:gutter="0" w:footer="0" w:header="0"/>
        </w:sectPr>
      </w:pPr>
    </w:p>
    <w:bookmarkStart w:id="152" w:name="page153"/>
    <w:bookmarkEnd w:id="152"/>
    <w:p>
      <w:pPr>
        <w:spacing w:after="0" w:line="271" w:lineRule="auto"/>
        <w:rPr>
          <w:sz w:val="20"/>
          <w:szCs w:val="20"/>
          <w:color w:val="auto"/>
        </w:rPr>
      </w:pPr>
      <w:r>
        <w:rPr>
          <w:rFonts w:ascii="Times New Roman" w:cs="Times New Roman" w:eastAsia="Times New Roman" w:hAnsi="Times New Roman"/>
          <w:sz w:val="16"/>
          <w:szCs w:val="16"/>
          <w:color w:val="auto"/>
        </w:rPr>
        <w:t>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1200"/>
          </w:cols>
          <w:pgMar w:left="300" w:top="1114" w:right="3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color w:val="auto"/>
        </w:rPr>
        <w:t>IN WITNESS WHEREOF, the parties hereto have caused this Indenture to be duly executed as of the day and year first above written.</w:t>
      </w:r>
    </w:p>
    <w:p>
      <w:pPr>
        <w:sectPr>
          <w:pgSz w:w="11900" w:h="16838" w:orient="portrait"/>
          <w:cols w:equalWidth="0" w:num="1">
            <w:col w:w="9179"/>
          </w:cols>
          <w:pgMar w:left="1280" w:top="1114" w:right="1440" w:bottom="1440" w:gutter="0" w:footer="0" w:header="0"/>
        </w:sectPr>
      </w:pPr>
    </w:p>
    <w:p>
      <w:pPr>
        <w:spacing w:after="0" w:line="17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6"/>
          <w:szCs w:val="16"/>
          <w:color w:val="auto"/>
        </w:rPr>
        <w:t>Crescent Biopharma, Inc.</w:t>
      </w:r>
    </w:p>
    <w:p>
      <w:pPr>
        <w:spacing w:after="0" w:line="17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1744345</wp:posOffset>
            </wp:positionH>
            <wp:positionV relativeFrom="paragraph">
              <wp:posOffset>-5080</wp:posOffset>
            </wp:positionV>
            <wp:extent cx="10414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1">
                      <a:extLst>
                        <a:ext uri="{28A0092B-C50C-407E-A947-70E740481C1C}"/>
                      </a:extLst>
                    </a:blip>
                    <a:srcRect/>
                    <a:stretch>
                      <a:fillRect/>
                    </a:stretch>
                  </pic:blipFill>
                  <pic:spPr bwMode="auto">
                    <a:xfrm>
                      <a:off x="0" y="0"/>
                      <a:ext cx="104140" cy="6350"/>
                    </a:xfrm>
                    <a:prstGeom prst="rect">
                      <a:avLst/>
                    </a:prstGeom>
                    <a:noFill/>
                  </pic:spPr>
                </pic:pic>
              </a:graphicData>
            </a:graphic>
          </wp:anchor>
        </w:drawing>
      </w:r>
    </w:p>
    <w:p>
      <w:pPr>
        <w:spacing w:after="0" w:line="1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6"/>
          <w:szCs w:val="16"/>
          <w:color w:val="auto"/>
        </w:rPr>
        <w:t>Its:</w:t>
      </w:r>
    </w:p>
    <w:p>
      <w:pPr>
        <w:spacing w:after="0" w:line="200" w:lineRule="exact"/>
        <w:rPr>
          <w:sz w:val="20"/>
          <w:szCs w:val="20"/>
          <w:color w:val="auto"/>
        </w:rPr>
      </w:pPr>
    </w:p>
    <w:p>
      <w:pPr>
        <w:spacing w:after="0" w:line="30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6"/>
          <w:szCs w:val="16"/>
          <w:color w:val="auto"/>
        </w:rPr>
        <w:t>[______], as Trustee</w:t>
      </w:r>
    </w:p>
    <w:p>
      <w:pPr>
        <w:spacing w:after="0" w:line="17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1718310</wp:posOffset>
            </wp:positionH>
            <wp:positionV relativeFrom="paragraph">
              <wp:posOffset>-5080</wp:posOffset>
            </wp:positionV>
            <wp:extent cx="10414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2">
                      <a:extLst>
                        <a:ext uri="{28A0092B-C50C-407E-A947-70E740481C1C}"/>
                      </a:extLst>
                    </a:blip>
                    <a:srcRect/>
                    <a:stretch>
                      <a:fillRect/>
                    </a:stretch>
                  </pic:blipFill>
                  <pic:spPr bwMode="auto">
                    <a:xfrm>
                      <a:off x="0" y="0"/>
                      <a:ext cx="104140" cy="6350"/>
                    </a:xfrm>
                    <a:prstGeom prst="rect">
                      <a:avLst/>
                    </a:prstGeom>
                    <a:noFill/>
                  </pic:spPr>
                </pic:pic>
              </a:graphicData>
            </a:graphic>
          </wp:anchor>
        </w:drawing>
      </w:r>
    </w:p>
    <w:p>
      <w:pPr>
        <w:spacing w:after="0" w:line="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6"/>
          <w:szCs w:val="16"/>
          <w:color w:val="auto"/>
        </w:rPr>
        <w:t>Name:</w:t>
      </w:r>
    </w:p>
    <w:p>
      <w:pPr>
        <w:spacing w:after="0" w:line="1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6"/>
          <w:szCs w:val="16"/>
          <w:color w:val="auto"/>
        </w:rPr>
        <w:t>Its:</w:t>
      </w:r>
    </w:p>
    <w:p>
      <w:pPr>
        <w:sectPr>
          <w:pgSz w:w="11900" w:h="16838" w:orient="portrait"/>
          <w:cols w:equalWidth="0" w:num="1">
            <w:col w:w="9179"/>
          </w:cols>
          <w:pgMar w:left="1280" w:top="1114" w:right="1440" w:bottom="1440" w:gutter="0" w:footer="0" w:header="0"/>
          <w:type w:val="continuous"/>
        </w:sectPr>
      </w:pPr>
    </w:p>
    <w:bookmarkStart w:id="154" w:name="page155"/>
    <w:bookmarkEnd w:id="154"/>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931545" cy="182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931545" cy="182245"/>
                    </a:xfrm>
                    <a:prstGeom prst="rect">
                      <a:avLst/>
                    </a:prstGeom>
                    <a:noFill/>
                  </pic:spPr>
                </pic:pic>
              </a:graphicData>
            </a:graphic>
          </wp:anchor>
        </w:drawing>
        <w:t>Exhibit 5.1</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July 2026</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4"/>
          <w:szCs w:val="14"/>
          <w:color w:val="auto"/>
        </w:rPr>
        <w:t>Crescent Biopharma, Inc.</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 Walkers Corporate Limited</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color w:val="auto"/>
        </w:rPr>
        <w:t>190 Elgin Avenue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color w:val="auto"/>
        </w:rPr>
        <w:t>George Town</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color w:val="auto"/>
        </w:rPr>
        <w:t>Grand Cayman KY1-9008</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color w:val="auto"/>
        </w:rPr>
        <w:t>Cayman Islands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Dear Ladies and Gentlemen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CRESCENT BIOPHARMA, INC.</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We have been asked to provide this legal opinion to you with regards to the laws of the Cayman Islands in connection with the registration by Crescent Biopharma, Inc. (the "</w:t>
      </w:r>
      <w:r>
        <w:rPr>
          <w:rFonts w:ascii="Arial" w:cs="Arial" w:eastAsia="Arial" w:hAnsi="Arial"/>
          <w:sz w:val="13"/>
          <w:szCs w:val="13"/>
          <w:b w:val="1"/>
          <w:bCs w:val="1"/>
          <w:color w:val="auto"/>
        </w:rPr>
        <w:t>Company</w:t>
      </w:r>
      <w:r>
        <w:rPr>
          <w:rFonts w:ascii="Arial" w:cs="Arial" w:eastAsia="Arial" w:hAnsi="Arial"/>
          <w:sz w:val="13"/>
          <w:szCs w:val="13"/>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under the United States Securities Act of 1933, as amended (the "</w:t>
      </w:r>
      <w:r>
        <w:rPr>
          <w:rFonts w:ascii="Arial" w:cs="Arial" w:eastAsia="Arial" w:hAnsi="Arial"/>
          <w:sz w:val="14"/>
          <w:szCs w:val="14"/>
          <w:b w:val="1"/>
          <w:bCs w:val="1"/>
          <w:color w:val="auto"/>
        </w:rPr>
        <w:t>Securities Act</w:t>
      </w:r>
      <w:r>
        <w:rPr>
          <w:rFonts w:ascii="Arial" w:cs="Arial" w:eastAsia="Arial" w:hAnsi="Arial"/>
          <w:sz w:val="14"/>
          <w:szCs w:val="14"/>
          <w:color w:val="auto"/>
        </w:rPr>
        <w:t>"), of:</w:t>
      </w:r>
    </w:p>
    <w:p>
      <w:pPr>
        <w:spacing w:after="0" w:line="164" w:lineRule="exact"/>
        <w:rPr>
          <w:sz w:val="20"/>
          <w:szCs w:val="20"/>
          <w:color w:val="auto"/>
        </w:rPr>
      </w:pPr>
    </w:p>
    <w:p>
      <w:pPr>
        <w:ind w:left="500" w:hanging="498"/>
        <w:spacing w:after="0" w:line="253" w:lineRule="auto"/>
        <w:tabs>
          <w:tab w:leader="none" w:pos="491" w:val="left"/>
        </w:tabs>
        <w:numPr>
          <w:ilvl w:val="0"/>
          <w:numId w:val="123"/>
        </w:numPr>
        <w:rPr>
          <w:rFonts w:ascii="Arial" w:cs="Arial" w:eastAsia="Arial" w:hAnsi="Arial"/>
          <w:sz w:val="14"/>
          <w:szCs w:val="14"/>
          <w:color w:val="auto"/>
        </w:rPr>
      </w:pPr>
      <w:r>
        <w:rPr>
          <w:rFonts w:ascii="Arial" w:cs="Arial" w:eastAsia="Arial" w:hAnsi="Arial"/>
          <w:sz w:val="14"/>
          <w:szCs w:val="14"/>
          <w:color w:val="auto"/>
        </w:rPr>
        <w:t>pursuant to the terms of the Base Prospectus (as defined in Schedule 1) and one or more supplements to the Base Prospectus (each, a "</w:t>
      </w:r>
      <w:r>
        <w:rPr>
          <w:rFonts w:ascii="Arial" w:cs="Arial" w:eastAsia="Arial" w:hAnsi="Arial"/>
          <w:sz w:val="14"/>
          <w:szCs w:val="14"/>
          <w:b w:val="1"/>
          <w:bCs w:val="1"/>
          <w:color w:val="auto"/>
        </w:rPr>
        <w:t>Prospectus Supplement</w:t>
      </w:r>
      <w:r>
        <w:rPr>
          <w:rFonts w:ascii="Arial" w:cs="Arial" w:eastAsia="Arial" w:hAnsi="Arial"/>
          <w:sz w:val="14"/>
          <w:szCs w:val="14"/>
          <w:color w:val="auto"/>
        </w:rPr>
        <w:t>") relating to the registration for issue and sale by the Company of certain of the Company’s securities (the "</w:t>
      </w:r>
      <w:r>
        <w:rPr>
          <w:rFonts w:ascii="Arial" w:cs="Arial" w:eastAsia="Arial" w:hAnsi="Arial"/>
          <w:sz w:val="14"/>
          <w:szCs w:val="14"/>
          <w:b w:val="1"/>
          <w:bCs w:val="1"/>
          <w:color w:val="auto"/>
        </w:rPr>
        <w:t>Securities</w:t>
      </w:r>
      <w:r>
        <w:rPr>
          <w:rFonts w:ascii="Arial" w:cs="Arial" w:eastAsia="Arial" w:hAnsi="Arial"/>
          <w:sz w:val="14"/>
          <w:szCs w:val="14"/>
          <w:color w:val="auto"/>
        </w:rPr>
        <w:t>") consisting of:</w:t>
      </w:r>
    </w:p>
    <w:p>
      <w:pPr>
        <w:spacing w:after="0" w:line="101" w:lineRule="exact"/>
        <w:rPr>
          <w:rFonts w:ascii="Arial" w:cs="Arial" w:eastAsia="Arial" w:hAnsi="Arial"/>
          <w:sz w:val="14"/>
          <w:szCs w:val="14"/>
          <w:color w:val="auto"/>
        </w:rPr>
      </w:pPr>
    </w:p>
    <w:p>
      <w:pPr>
        <w:ind w:left="980" w:hanging="486"/>
        <w:spacing w:after="0"/>
        <w:tabs>
          <w:tab w:leader="none" w:pos="980" w:val="left"/>
        </w:tabs>
        <w:numPr>
          <w:ilvl w:val="1"/>
          <w:numId w:val="123"/>
        </w:numPr>
        <w:rPr>
          <w:rFonts w:ascii="Arial" w:cs="Arial" w:eastAsia="Arial" w:hAnsi="Arial"/>
          <w:sz w:val="14"/>
          <w:szCs w:val="14"/>
          <w:color w:val="auto"/>
        </w:rPr>
      </w:pPr>
      <w:r>
        <w:rPr>
          <w:rFonts w:ascii="Arial" w:cs="Arial" w:eastAsia="Arial" w:hAnsi="Arial"/>
          <w:sz w:val="14"/>
          <w:szCs w:val="14"/>
          <w:color w:val="auto"/>
        </w:rPr>
        <w:t>ordinary shares with a nominal value of US$0.001 per share in the capital of the Company (the "</w:t>
      </w:r>
      <w:r>
        <w:rPr>
          <w:rFonts w:ascii="Arial" w:cs="Arial" w:eastAsia="Arial" w:hAnsi="Arial"/>
          <w:sz w:val="14"/>
          <w:szCs w:val="14"/>
          <w:b w:val="1"/>
          <w:bCs w:val="1"/>
          <w:color w:val="auto"/>
        </w:rPr>
        <w:t>Ordinary Shares</w:t>
      </w:r>
      <w:r>
        <w:rPr>
          <w:rFonts w:ascii="Arial" w:cs="Arial" w:eastAsia="Arial" w:hAnsi="Arial"/>
          <w:sz w:val="14"/>
          <w:szCs w:val="14"/>
          <w:color w:val="auto"/>
        </w:rPr>
        <w:t>");</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1"/>
          <w:numId w:val="123"/>
        </w:numPr>
        <w:rPr>
          <w:rFonts w:ascii="Arial" w:cs="Arial" w:eastAsia="Arial" w:hAnsi="Arial"/>
          <w:sz w:val="14"/>
          <w:szCs w:val="14"/>
          <w:color w:val="auto"/>
        </w:rPr>
      </w:pPr>
      <w:r>
        <w:rPr>
          <w:rFonts w:ascii="Arial" w:cs="Arial" w:eastAsia="Arial" w:hAnsi="Arial"/>
          <w:sz w:val="14"/>
          <w:szCs w:val="14"/>
          <w:color w:val="auto"/>
        </w:rPr>
        <w:t>preferred shares in the capital of the Company (the "</w:t>
      </w:r>
      <w:r>
        <w:rPr>
          <w:rFonts w:ascii="Arial" w:cs="Arial" w:eastAsia="Arial" w:hAnsi="Arial"/>
          <w:sz w:val="14"/>
          <w:szCs w:val="14"/>
          <w:b w:val="1"/>
          <w:bCs w:val="1"/>
          <w:color w:val="auto"/>
        </w:rPr>
        <w:t>Preferred Shares</w:t>
      </w:r>
      <w:r>
        <w:rPr>
          <w:rFonts w:ascii="Arial" w:cs="Arial" w:eastAsia="Arial" w:hAnsi="Arial"/>
          <w:sz w:val="14"/>
          <w:szCs w:val="14"/>
          <w:color w:val="auto"/>
        </w:rPr>
        <w:t>");</w:t>
      </w:r>
    </w:p>
    <w:p>
      <w:pPr>
        <w:spacing w:after="0" w:line="138" w:lineRule="exact"/>
        <w:rPr>
          <w:rFonts w:ascii="Arial" w:cs="Arial" w:eastAsia="Arial" w:hAnsi="Arial"/>
          <w:sz w:val="14"/>
          <w:szCs w:val="14"/>
          <w:color w:val="auto"/>
        </w:rPr>
      </w:pPr>
    </w:p>
    <w:p>
      <w:pPr>
        <w:ind w:left="980" w:hanging="486"/>
        <w:spacing w:after="0"/>
        <w:tabs>
          <w:tab w:leader="none" w:pos="980" w:val="left"/>
        </w:tabs>
        <w:numPr>
          <w:ilvl w:val="1"/>
          <w:numId w:val="123"/>
        </w:numPr>
        <w:rPr>
          <w:rFonts w:ascii="Arial" w:cs="Arial" w:eastAsia="Arial" w:hAnsi="Arial"/>
          <w:sz w:val="14"/>
          <w:szCs w:val="14"/>
          <w:color w:val="auto"/>
        </w:rPr>
      </w:pPr>
      <w:r>
        <w:rPr>
          <w:rFonts w:ascii="Arial" w:cs="Arial" w:eastAsia="Arial" w:hAnsi="Arial"/>
          <w:sz w:val="14"/>
          <w:szCs w:val="14"/>
          <w:color w:val="auto"/>
        </w:rPr>
        <w:t>debt securities of the Company;</w:t>
      </w:r>
    </w:p>
    <w:p>
      <w:pPr>
        <w:spacing w:after="0" w:line="144" w:lineRule="exact"/>
        <w:rPr>
          <w:rFonts w:ascii="Arial" w:cs="Arial" w:eastAsia="Arial" w:hAnsi="Arial"/>
          <w:sz w:val="14"/>
          <w:szCs w:val="14"/>
          <w:color w:val="auto"/>
        </w:rPr>
      </w:pPr>
    </w:p>
    <w:p>
      <w:pPr>
        <w:ind w:left="980" w:hanging="486"/>
        <w:spacing w:after="0"/>
        <w:tabs>
          <w:tab w:leader="none" w:pos="980" w:val="left"/>
        </w:tabs>
        <w:numPr>
          <w:ilvl w:val="1"/>
          <w:numId w:val="123"/>
        </w:numPr>
        <w:rPr>
          <w:rFonts w:ascii="Arial" w:cs="Arial" w:eastAsia="Arial" w:hAnsi="Arial"/>
          <w:sz w:val="14"/>
          <w:szCs w:val="14"/>
          <w:color w:val="auto"/>
        </w:rPr>
      </w:pPr>
      <w:r>
        <w:rPr>
          <w:rFonts w:ascii="Arial" w:cs="Arial" w:eastAsia="Arial" w:hAnsi="Arial"/>
          <w:sz w:val="14"/>
          <w:szCs w:val="14"/>
          <w:color w:val="auto"/>
        </w:rPr>
        <w:t>warrants to purchase Ordinary Shares or Preferred Shares (the "</w:t>
      </w:r>
      <w:r>
        <w:rPr>
          <w:rFonts w:ascii="Arial" w:cs="Arial" w:eastAsia="Arial" w:hAnsi="Arial"/>
          <w:sz w:val="14"/>
          <w:szCs w:val="14"/>
          <w:b w:val="1"/>
          <w:bCs w:val="1"/>
          <w:color w:val="auto"/>
        </w:rPr>
        <w:t>Warrants</w:t>
      </w:r>
      <w:r>
        <w:rPr>
          <w:rFonts w:ascii="Arial" w:cs="Arial" w:eastAsia="Arial" w:hAnsi="Arial"/>
          <w:sz w:val="14"/>
          <w:szCs w:val="14"/>
          <w:color w:val="auto"/>
        </w:rPr>
        <w:t>"); and</w:t>
      </w:r>
    </w:p>
    <w:p>
      <w:pPr>
        <w:spacing w:after="0" w:line="138" w:lineRule="exact"/>
        <w:rPr>
          <w:rFonts w:ascii="Arial" w:cs="Arial" w:eastAsia="Arial" w:hAnsi="Arial"/>
          <w:sz w:val="14"/>
          <w:szCs w:val="14"/>
          <w:color w:val="auto"/>
        </w:rPr>
      </w:pPr>
    </w:p>
    <w:p>
      <w:pPr>
        <w:ind w:left="980" w:hanging="486"/>
        <w:spacing w:after="0"/>
        <w:tabs>
          <w:tab w:leader="none" w:pos="980" w:val="left"/>
        </w:tabs>
        <w:numPr>
          <w:ilvl w:val="1"/>
          <w:numId w:val="123"/>
        </w:numPr>
        <w:rPr>
          <w:rFonts w:ascii="Arial" w:cs="Arial" w:eastAsia="Arial" w:hAnsi="Arial"/>
          <w:sz w:val="14"/>
          <w:szCs w:val="14"/>
          <w:color w:val="auto"/>
        </w:rPr>
      </w:pPr>
      <w:r>
        <w:rPr>
          <w:rFonts w:ascii="Arial" w:cs="Arial" w:eastAsia="Arial" w:hAnsi="Arial"/>
          <w:sz w:val="14"/>
          <w:szCs w:val="14"/>
          <w:color w:val="auto"/>
        </w:rPr>
        <w:t>units consisting of any combination of Ordinary Shares, Preferred Shares or Warrants in one or more series; and</w:t>
      </w:r>
    </w:p>
    <w:p>
      <w:pPr>
        <w:spacing w:after="0" w:line="136" w:lineRule="exact"/>
        <w:rPr>
          <w:rFonts w:ascii="Arial" w:cs="Arial" w:eastAsia="Arial" w:hAnsi="Arial"/>
          <w:sz w:val="14"/>
          <w:szCs w:val="14"/>
          <w:color w:val="auto"/>
        </w:rPr>
      </w:pPr>
    </w:p>
    <w:p>
      <w:pPr>
        <w:jc w:val="both"/>
        <w:ind w:left="500" w:hanging="498"/>
        <w:spacing w:after="0" w:line="226" w:lineRule="auto"/>
        <w:tabs>
          <w:tab w:leader="none" w:pos="491" w:val="left"/>
        </w:tabs>
        <w:numPr>
          <w:ilvl w:val="0"/>
          <w:numId w:val="123"/>
        </w:numPr>
        <w:rPr>
          <w:rFonts w:ascii="Arial" w:cs="Arial" w:eastAsia="Arial" w:hAnsi="Arial"/>
          <w:sz w:val="14"/>
          <w:szCs w:val="14"/>
          <w:color w:val="auto"/>
        </w:rPr>
      </w:pPr>
      <w:r>
        <w:rPr>
          <w:rFonts w:ascii="Arial" w:cs="Arial" w:eastAsia="Arial" w:hAnsi="Arial"/>
          <w:sz w:val="14"/>
          <w:szCs w:val="14"/>
          <w:color w:val="auto"/>
        </w:rPr>
        <w:t>pursuant to the terms of the Base Prospectus and the Prospectus (as defined in Schedule 1), ordinary shares with a nominal value of US$0.001 per share in the capital of the Company and with an aggregate offering price of US$200,000,000 (the "</w:t>
      </w:r>
      <w:r>
        <w:rPr>
          <w:rFonts w:ascii="Arial" w:cs="Arial" w:eastAsia="Arial" w:hAnsi="Arial"/>
          <w:sz w:val="14"/>
          <w:szCs w:val="14"/>
          <w:b w:val="1"/>
          <w:bCs w:val="1"/>
          <w:color w:val="auto"/>
        </w:rPr>
        <w:t>Sales Agreement Shares</w:t>
      </w:r>
      <w:r>
        <w:rPr>
          <w:rFonts w:ascii="Arial" w:cs="Arial" w:eastAsia="Arial" w:hAnsi="Arial"/>
          <w:sz w:val="14"/>
          <w:szCs w:val="14"/>
          <w:color w:val="auto"/>
        </w:rPr>
        <w:t>") to be issued in accordance with the terms and conditions of the Sales Agreement (as defined in Schedule 1).</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For the purposes of giving this opinion, we have examined and relied upon the originals or copies of the documents listed in Schedule 1.</w:t>
      </w:r>
    </w:p>
    <w:p>
      <w:pPr>
        <w:sectPr>
          <w:pgSz w:w="11900" w:h="16838" w:orient="portrait"/>
          <w:cols w:equalWidth="0" w:num="1">
            <w:col w:w="11280"/>
          </w:cols>
          <w:pgMar w:left="300" w:top="1233" w:right="319" w:bottom="1440" w:gutter="0" w:footer="0" w:header="0"/>
        </w:sectPr>
      </w:pPr>
    </w:p>
    <w:bookmarkStart w:id="155" w:name="page156"/>
    <w:bookmarkEnd w:id="155"/>
    <w:p>
      <w:pPr>
        <w:ind w:left="60"/>
        <w:spacing w:after="0"/>
        <w:rPr>
          <w:sz w:val="20"/>
          <w:szCs w:val="20"/>
          <w:color w:val="auto"/>
        </w:rPr>
      </w:pPr>
      <w:r>
        <w:rPr>
          <w:rFonts w:ascii="Arial" w:cs="Arial" w:eastAsia="Arial" w:hAnsi="Arial"/>
          <w:sz w:val="14"/>
          <w:szCs w:val="14"/>
          <w:b w:val="1"/>
          <w:bCs w:val="1"/>
          <w:color w:val="auto"/>
        </w:rPr>
        <w:t>WALKERS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We are Cayman Islands Attorneys at Law and express no opinion as to any laws other than the laws of the Cayman Islands in force and as interpreted at the date of this opinion. We have not, for the purposes of this opinion, made any investigation of the laws, rules or regulations of any other jurisdiction.</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Based upon the foregoing examinations and the assumptions and qualifications set out below and having regard to legal considerations which we consider relevant, and under the laws of the Cayman Islands, we give the following opinion in relation to the matters set out below.</w:t>
      </w:r>
    </w:p>
    <w:p>
      <w:pPr>
        <w:spacing w:after="0" w:line="117" w:lineRule="exact"/>
        <w:rPr>
          <w:sz w:val="20"/>
          <w:szCs w:val="20"/>
          <w:color w:val="auto"/>
        </w:rPr>
      </w:pPr>
    </w:p>
    <w:p>
      <w:pPr>
        <w:ind w:left="500" w:hanging="498"/>
        <w:spacing w:after="0" w:line="237" w:lineRule="auto"/>
        <w:tabs>
          <w:tab w:leader="none" w:pos="491"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Company is an exempted company registered by way of continuation with limited liability, validly existing under the laws of the Cayman Islands and in good standing with the Registrar of Companies in the Cayman Islands (the "</w:t>
      </w:r>
      <w:r>
        <w:rPr>
          <w:rFonts w:ascii="Arial" w:cs="Arial" w:eastAsia="Arial" w:hAnsi="Arial"/>
          <w:sz w:val="14"/>
          <w:szCs w:val="14"/>
          <w:b w:val="1"/>
          <w:bCs w:val="1"/>
          <w:color w:val="auto"/>
        </w:rPr>
        <w:t>Registrar</w:t>
      </w:r>
      <w:r>
        <w:rPr>
          <w:rFonts w:ascii="Arial" w:cs="Arial" w:eastAsia="Arial" w:hAnsi="Arial"/>
          <w:sz w:val="14"/>
          <w:szCs w:val="14"/>
          <w:color w:val="auto"/>
        </w:rPr>
        <w:t>").</w:t>
      </w:r>
    </w:p>
    <w:p>
      <w:pPr>
        <w:spacing w:after="0" w:line="110" w:lineRule="exact"/>
        <w:rPr>
          <w:rFonts w:ascii="Arial" w:cs="Arial" w:eastAsia="Arial" w:hAnsi="Arial"/>
          <w:sz w:val="14"/>
          <w:szCs w:val="14"/>
          <w:color w:val="auto"/>
        </w:rPr>
      </w:pPr>
    </w:p>
    <w:p>
      <w:pPr>
        <w:jc w:val="both"/>
        <w:ind w:left="500" w:hanging="498"/>
        <w:spacing w:after="0" w:line="215" w:lineRule="auto"/>
        <w:tabs>
          <w:tab w:leader="none" w:pos="491" w:val="left"/>
        </w:tabs>
        <w:numPr>
          <w:ilvl w:val="0"/>
          <w:numId w:val="124"/>
        </w:numPr>
        <w:rPr>
          <w:rFonts w:ascii="Arial" w:cs="Arial" w:eastAsia="Arial" w:hAnsi="Arial"/>
          <w:sz w:val="14"/>
          <w:szCs w:val="14"/>
          <w:color w:val="auto"/>
        </w:rPr>
      </w:pPr>
      <w:r>
        <w:rPr>
          <w:rFonts w:ascii="Arial" w:cs="Arial" w:eastAsia="Arial" w:hAnsi="Arial"/>
          <w:sz w:val="14"/>
          <w:szCs w:val="14"/>
          <w:color w:val="auto"/>
        </w:rPr>
        <w:t>With respect to the Ordinary Shares and the Preferred Shares: when (a) the board of directors of the Company (the "</w:t>
      </w:r>
      <w:r>
        <w:rPr>
          <w:rFonts w:ascii="Arial" w:cs="Arial" w:eastAsia="Arial" w:hAnsi="Arial"/>
          <w:sz w:val="14"/>
          <w:szCs w:val="14"/>
          <w:b w:val="1"/>
          <w:bCs w:val="1"/>
          <w:color w:val="auto"/>
        </w:rPr>
        <w:t>Board</w:t>
      </w:r>
      <w:r>
        <w:rPr>
          <w:rFonts w:ascii="Arial" w:cs="Arial" w:eastAsia="Arial" w:hAnsi="Arial"/>
          <w:sz w:val="14"/>
          <w:szCs w:val="14"/>
          <w:color w:val="auto"/>
        </w:rPr>
        <w:t>") has taken all necessary corporate action to approve the issuance thereof, the terms of the offering thereof and related matters; (b) the provisions of the applicable definitive purchase, underwriting or similar agreement approved by the Board have been satisfied and payment of the consideration specified therein (being not less than their par value) has been made; and (c) the name of the registered owner thereof has been entered in the Register of Members of the Company confirming that such shares have been issued credited as fully paid, then the Ordinary Shares and/or the Preferred Shares (as applicable) will have been duly authorised and validly issued, fully paid and non-assessable (meaning that no additional sums may be levied on the holder thereof in respect of the shares by the Company).</w:t>
      </w:r>
    </w:p>
    <w:p>
      <w:pPr>
        <w:spacing w:after="0" w:line="121" w:lineRule="exact"/>
        <w:rPr>
          <w:rFonts w:ascii="Arial" w:cs="Arial" w:eastAsia="Arial" w:hAnsi="Arial"/>
          <w:sz w:val="14"/>
          <w:szCs w:val="14"/>
          <w:color w:val="auto"/>
        </w:rPr>
      </w:pPr>
    </w:p>
    <w:p>
      <w:pPr>
        <w:jc w:val="both"/>
        <w:ind w:left="500" w:hanging="498"/>
        <w:spacing w:after="0" w:line="215" w:lineRule="auto"/>
        <w:tabs>
          <w:tab w:leader="none" w:pos="491"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Sales Agreement Shares have been duly authorised by all necessary corporate action of the Company. Upon the issue of the Sales Agreement Shares (by the entry of the name of the registered owner thereof in the Register of Members of the Company confirming that such Sales Agreement Shares have been issued credited as fully paid), delivery and payment therefore by the purchaser in accordance with the Memorandum and Articles of Association (as defined in Schedule 1) and the Sales Agreement and in the manner contemplated by the Registration Statement (as defined in Schedule 1), the Sales Agreement Shares will be validly issued, fully paid and non-assessable (meaning that no additional sums may be levied on the holder thereof in respect of the shares by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The foregoing opinion is given based on the following assumptions.</w:t>
      </w:r>
    </w:p>
    <w:p>
      <w:pPr>
        <w:spacing w:after="0" w:line="157" w:lineRule="exact"/>
        <w:rPr>
          <w:sz w:val="20"/>
          <w:szCs w:val="20"/>
          <w:color w:val="auto"/>
        </w:rPr>
      </w:pPr>
    </w:p>
    <w:p>
      <w:pPr>
        <w:jc w:val="both"/>
        <w:ind w:left="500" w:hanging="498"/>
        <w:spacing w:after="0" w:line="219" w:lineRule="auto"/>
        <w:tabs>
          <w:tab w:leader="none" w:pos="491"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originals of all documents examined in connection with this opinion are authentic. The signatures, initials and seals on the Documents (as defined in Schedule 1) are genuine and are those of a person or persons given power to execute the Documents under the Resolutions (as defined in Schedule 1). All documents purporting to be sealed have been so sealed. All copies are complete and conform to their originals. The Documents conform in every material respect to the latest drafts of the same produced to us and, where provided in successive drafts, have been marked up to indicate all changes to such Documents.</w:t>
      </w:r>
    </w:p>
    <w:p>
      <w:pPr>
        <w:spacing w:after="0" w:line="120" w:lineRule="exact"/>
        <w:rPr>
          <w:rFonts w:ascii="Arial" w:cs="Arial" w:eastAsia="Arial" w:hAnsi="Arial"/>
          <w:sz w:val="14"/>
          <w:szCs w:val="14"/>
          <w:color w:val="auto"/>
        </w:rPr>
      </w:pPr>
    </w:p>
    <w:p>
      <w:pPr>
        <w:ind w:left="480" w:hanging="478"/>
        <w:spacing w:after="0"/>
        <w:tabs>
          <w:tab w:leader="none" w:pos="4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We have relied upon the statements and representations of directors, officers and other representatives of the Company as to factual matters.</w:t>
      </w:r>
    </w:p>
    <w:p>
      <w:pPr>
        <w:spacing w:after="0" w:line="136" w:lineRule="exact"/>
        <w:rPr>
          <w:rFonts w:ascii="Arial" w:cs="Arial" w:eastAsia="Arial" w:hAnsi="Arial"/>
          <w:sz w:val="14"/>
          <w:szCs w:val="14"/>
          <w:color w:val="auto"/>
        </w:rPr>
      </w:pPr>
    </w:p>
    <w:p>
      <w:pPr>
        <w:ind w:left="500" w:hanging="498"/>
        <w:spacing w:after="0" w:line="242" w:lineRule="auto"/>
        <w:tabs>
          <w:tab w:leader="none" w:pos="491"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Memorandum and Articles of Association reviewed by us will be the memorandum and articles of association of the Company in effect upon the issuance of the Ordinary Shares, the Preferred Shares and the Sales Agreement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Walkers</w:t>
      </w:r>
    </w:p>
    <w:p>
      <w:pPr>
        <w:spacing w:after="0" w:line="67" w:lineRule="exact"/>
        <w:rPr>
          <w:sz w:val="20"/>
          <w:szCs w:val="20"/>
          <w:color w:val="auto"/>
        </w:rPr>
      </w:pPr>
    </w:p>
    <w:p>
      <w:pPr>
        <w:ind w:left="8080"/>
        <w:spacing w:after="0"/>
        <w:rPr>
          <w:sz w:val="20"/>
          <w:szCs w:val="20"/>
          <w:color w:val="auto"/>
        </w:rPr>
      </w:pPr>
      <w:r>
        <w:rPr>
          <w:rFonts w:ascii="Arial" w:cs="Arial" w:eastAsia="Arial" w:hAnsi="Arial"/>
          <w:sz w:val="10"/>
          <w:szCs w:val="10"/>
          <w:color w:val="auto"/>
        </w:rPr>
        <w:t>190 Elgin Avenue, George Town</w:t>
      </w:r>
    </w:p>
    <w:p>
      <w:pPr>
        <w:spacing w:after="0" w:line="70" w:lineRule="exact"/>
        <w:rPr>
          <w:sz w:val="20"/>
          <w:szCs w:val="20"/>
          <w:color w:val="auto"/>
        </w:rPr>
      </w:pPr>
    </w:p>
    <w:p>
      <w:pPr>
        <w:ind w:left="7600"/>
        <w:spacing w:after="0"/>
        <w:rPr>
          <w:sz w:val="20"/>
          <w:szCs w:val="20"/>
          <w:color w:val="auto"/>
        </w:rPr>
      </w:pPr>
      <w:r>
        <w:rPr>
          <w:rFonts w:ascii="Arial" w:cs="Arial" w:eastAsia="Arial" w:hAnsi="Arial"/>
          <w:sz w:val="10"/>
          <w:szCs w:val="10"/>
          <w:color w:val="auto"/>
        </w:rPr>
        <w:t>Grand Cayman KY1-9001, Cayman Islands</w:t>
      </w:r>
    </w:p>
    <w:p>
      <w:pPr>
        <w:spacing w:after="0" w:line="57" w:lineRule="exact"/>
        <w:rPr>
          <w:sz w:val="20"/>
          <w:szCs w:val="20"/>
          <w:color w:val="auto"/>
        </w:rPr>
      </w:pPr>
    </w:p>
    <w:p>
      <w:pPr>
        <w:ind w:left="6760"/>
        <w:spacing w:after="0"/>
        <w:rPr>
          <w:sz w:val="20"/>
          <w:szCs w:val="20"/>
          <w:color w:val="auto"/>
        </w:rPr>
      </w:pPr>
      <w:r>
        <w:rPr>
          <w:rFonts w:ascii="Arial" w:cs="Arial" w:eastAsia="Arial" w:hAnsi="Arial"/>
          <w:sz w:val="10"/>
          <w:szCs w:val="10"/>
          <w:b w:val="1"/>
          <w:bCs w:val="1"/>
          <w:color w:val="auto"/>
        </w:rPr>
        <w:t xml:space="preserve">T </w:t>
      </w:r>
      <w:r>
        <w:rPr>
          <w:rFonts w:ascii="Arial" w:cs="Arial" w:eastAsia="Arial" w:hAnsi="Arial"/>
          <w:sz w:val="10"/>
          <w:szCs w:val="10"/>
          <w:color w:val="auto"/>
        </w:rPr>
        <w:t>+1 345 949 0100</w:t>
      </w:r>
      <w:r>
        <w:rPr>
          <w:rFonts w:ascii="Arial" w:cs="Arial" w:eastAsia="Arial" w:hAnsi="Arial"/>
          <w:sz w:val="10"/>
          <w:szCs w:val="10"/>
          <w:b w:val="1"/>
          <w:bCs w:val="1"/>
          <w:color w:val="auto"/>
        </w:rPr>
        <w:t xml:space="preserve"> F </w:t>
      </w:r>
      <w:r>
        <w:rPr>
          <w:rFonts w:ascii="Arial" w:cs="Arial" w:eastAsia="Arial" w:hAnsi="Arial"/>
          <w:sz w:val="10"/>
          <w:szCs w:val="10"/>
          <w:color w:val="auto"/>
        </w:rPr>
        <w:t>+1 345 949 7886 www.walkersglobal.com</w:t>
      </w:r>
    </w:p>
    <w:p>
      <w:pPr>
        <w:sectPr>
          <w:pgSz w:w="11900" w:h="16838" w:orient="portrait"/>
          <w:cols w:equalWidth="0" w:num="1">
            <w:col w:w="11280"/>
          </w:cols>
          <w:pgMar w:left="300" w:top="156" w:right="319" w:bottom="1440" w:gutter="0" w:footer="0" w:header="0"/>
        </w:sectPr>
      </w:pPr>
    </w:p>
    <w:bookmarkStart w:id="156" w:name="page157"/>
    <w:bookmarkEnd w:id="156"/>
    <w:p>
      <w:pPr>
        <w:ind w:left="60"/>
        <w:spacing w:after="0"/>
        <w:rPr>
          <w:sz w:val="20"/>
          <w:szCs w:val="20"/>
          <w:color w:val="auto"/>
        </w:rPr>
      </w:pPr>
      <w:r>
        <w:rPr>
          <w:rFonts w:ascii="Arial" w:cs="Arial" w:eastAsia="Arial" w:hAnsi="Arial"/>
          <w:sz w:val="14"/>
          <w:szCs w:val="14"/>
          <w:b w:val="1"/>
          <w:bCs w:val="1"/>
          <w:color w:val="auto"/>
        </w:rPr>
        <w:t>WALKERS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00" w:hanging="498"/>
        <w:spacing w:after="0" w:line="233" w:lineRule="auto"/>
        <w:tabs>
          <w:tab w:leader="none" w:pos="491" w:val="left"/>
        </w:tabs>
        <w:numPr>
          <w:ilvl w:val="0"/>
          <w:numId w:val="126"/>
        </w:numPr>
        <w:rPr>
          <w:rFonts w:ascii="Arial" w:cs="Arial" w:eastAsia="Arial" w:hAnsi="Arial"/>
          <w:sz w:val="14"/>
          <w:szCs w:val="14"/>
          <w:color w:val="auto"/>
        </w:rPr>
      </w:pPr>
      <w:r>
        <w:rPr>
          <w:rFonts w:ascii="Arial" w:cs="Arial" w:eastAsia="Arial" w:hAnsi="Arial"/>
          <w:sz w:val="14"/>
          <w:szCs w:val="14"/>
          <w:color w:val="auto"/>
        </w:rPr>
        <w:t>Each Prospectus Supplement and the documents or agreements referred to therein will be duly authorised, executed and delivered by or on behalf of all relevant parties prior to the issue and sale of Ordinary Shares and Preferred Shares and will be legal, valid, binding and enforceable against all relevant parties in accordance with their terms.</w:t>
      </w:r>
    </w:p>
    <w:p>
      <w:pPr>
        <w:spacing w:after="0" w:line="118" w:lineRule="exact"/>
        <w:rPr>
          <w:rFonts w:ascii="Arial" w:cs="Arial" w:eastAsia="Arial" w:hAnsi="Arial"/>
          <w:sz w:val="14"/>
          <w:szCs w:val="14"/>
          <w:color w:val="auto"/>
        </w:rPr>
      </w:pPr>
    </w:p>
    <w:p>
      <w:pPr>
        <w:ind w:left="500" w:hanging="498"/>
        <w:spacing w:after="0" w:line="242" w:lineRule="auto"/>
        <w:tabs>
          <w:tab w:leader="none" w:pos="491"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Company will offer, issue and sell the Ordinary Shares and the Preferred Shares in the manner contemplated by the Base Prospectus, Prospectus and any Prospectus Supplement and the documents or agreements referred to therein and otherwise in compliance with all applicable United States federal and state securities laws.</w:t>
      </w:r>
    </w:p>
    <w:p>
      <w:pPr>
        <w:spacing w:after="0" w:line="116" w:lineRule="exact"/>
        <w:rPr>
          <w:rFonts w:ascii="Arial" w:cs="Arial" w:eastAsia="Arial" w:hAnsi="Arial"/>
          <w:sz w:val="14"/>
          <w:szCs w:val="14"/>
          <w:color w:val="auto"/>
        </w:rPr>
      </w:pPr>
    </w:p>
    <w:p>
      <w:pPr>
        <w:ind w:left="500" w:hanging="498"/>
        <w:spacing w:after="0" w:line="233" w:lineRule="auto"/>
        <w:tabs>
          <w:tab w:leader="none" w:pos="491"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Company Records (as defined in Schedule 1) are complete and accurate and all matters required by law and the Memorandum and Articles of Association to be recorded therein are completely and accurately so recorded.</w:t>
      </w:r>
    </w:p>
    <w:p>
      <w:pPr>
        <w:spacing w:after="0" w:line="118" w:lineRule="exact"/>
        <w:rPr>
          <w:rFonts w:ascii="Arial" w:cs="Arial" w:eastAsia="Arial" w:hAnsi="Arial"/>
          <w:sz w:val="14"/>
          <w:szCs w:val="14"/>
          <w:color w:val="auto"/>
        </w:rPr>
      </w:pPr>
    </w:p>
    <w:p>
      <w:pPr>
        <w:ind w:left="480" w:hanging="478"/>
        <w:spacing w:after="0"/>
        <w:tabs>
          <w:tab w:leader="none" w:pos="48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accuracy and completeness of all factual representations made in the Registration Statement and all other documents reviewed by us.</w:t>
      </w:r>
    </w:p>
    <w:p>
      <w:pPr>
        <w:spacing w:after="0" w:line="146" w:lineRule="exact"/>
        <w:rPr>
          <w:rFonts w:ascii="Arial" w:cs="Arial" w:eastAsia="Arial" w:hAnsi="Arial"/>
          <w:sz w:val="14"/>
          <w:szCs w:val="14"/>
          <w:color w:val="auto"/>
        </w:rPr>
      </w:pPr>
    </w:p>
    <w:p>
      <w:pPr>
        <w:ind w:left="500" w:hanging="498"/>
        <w:spacing w:after="0" w:line="233" w:lineRule="auto"/>
        <w:tabs>
          <w:tab w:leader="none" w:pos="491"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Company will receive consideration in money or money’s worth for each of the Ordinary Shares, Preferred Shares and Sales Agreement Shares when issued, such price in any event not being less than the stated par or nominal value of each Ordinary Share, Preferred Share and Sales Agreement Shares.</w:t>
      </w:r>
    </w:p>
    <w:p>
      <w:pPr>
        <w:spacing w:after="0" w:line="118" w:lineRule="exact"/>
        <w:rPr>
          <w:rFonts w:ascii="Arial" w:cs="Arial" w:eastAsia="Arial" w:hAnsi="Arial"/>
          <w:sz w:val="14"/>
          <w:szCs w:val="14"/>
          <w:color w:val="auto"/>
        </w:rPr>
      </w:pPr>
    </w:p>
    <w:p>
      <w:pPr>
        <w:jc w:val="both"/>
        <w:ind w:left="500" w:hanging="498"/>
        <w:spacing w:after="0" w:line="226" w:lineRule="auto"/>
        <w:tabs>
          <w:tab w:leader="none" w:pos="491"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Resolutions are and shall remain in full force and effect and have not been and will not be rescinded or amended. The Resolutions have been duly executed (and where by a corporate entity such execution has been duly authorised if so required) by or on behalf of each Director and the signatures and initials thereon are those of a person or persons in whose name the Resolutions have been expressed to be signed.</w:t>
      </w:r>
    </w:p>
    <w:p>
      <w:pPr>
        <w:spacing w:after="0" w:line="119" w:lineRule="exact"/>
        <w:rPr>
          <w:rFonts w:ascii="Arial" w:cs="Arial" w:eastAsia="Arial" w:hAnsi="Arial"/>
          <w:sz w:val="14"/>
          <w:szCs w:val="14"/>
          <w:color w:val="auto"/>
        </w:rPr>
      </w:pPr>
    </w:p>
    <w:p>
      <w:pPr>
        <w:ind w:left="480" w:hanging="478"/>
        <w:spacing w:after="0"/>
        <w:tabs>
          <w:tab w:leader="none" w:pos="4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The Documents are within the capacity and power of, and has been or will be duly authorised, executed and delivered by, each of the parties thereto (other than the Company).</w:t>
      </w:r>
    </w:p>
    <w:p>
      <w:pPr>
        <w:spacing w:after="0" w:line="158" w:lineRule="exact"/>
        <w:rPr>
          <w:rFonts w:ascii="Arial" w:cs="Arial" w:eastAsia="Arial" w:hAnsi="Arial"/>
          <w:sz w:val="13"/>
          <w:szCs w:val="13"/>
          <w:color w:val="auto"/>
        </w:rPr>
      </w:pPr>
    </w:p>
    <w:p>
      <w:pPr>
        <w:ind w:left="500" w:hanging="498"/>
        <w:spacing w:after="0" w:line="233" w:lineRule="auto"/>
        <w:tabs>
          <w:tab w:leader="none" w:pos="485"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Documents constitute or, when executed and delivered, will constitute the legal, valid and binding obligations of each of the parties thereto enforceable in accordance with its terms as a matter of the laws of all relevant jurisdictions (other than the Cayman Islands).</w:t>
      </w:r>
    </w:p>
    <w:p>
      <w:pPr>
        <w:spacing w:after="0" w:line="118" w:lineRule="exact"/>
        <w:rPr>
          <w:rFonts w:ascii="Arial" w:cs="Arial" w:eastAsia="Arial" w:hAnsi="Arial"/>
          <w:sz w:val="14"/>
          <w:szCs w:val="14"/>
          <w:color w:val="auto"/>
        </w:rPr>
      </w:pPr>
    </w:p>
    <w:p>
      <w:pPr>
        <w:ind w:left="500" w:hanging="498"/>
        <w:spacing w:after="0" w:line="242" w:lineRule="auto"/>
        <w:tabs>
          <w:tab w:leader="none" w:pos="495" w:val="left"/>
        </w:tabs>
        <w:numPr>
          <w:ilvl w:val="0"/>
          <w:numId w:val="126"/>
        </w:numPr>
        <w:rPr>
          <w:rFonts w:ascii="Arial" w:cs="Arial" w:eastAsia="Arial" w:hAnsi="Arial"/>
          <w:sz w:val="14"/>
          <w:szCs w:val="14"/>
          <w:color w:val="auto"/>
        </w:rPr>
      </w:pPr>
      <w:r>
        <w:rPr>
          <w:rFonts w:ascii="Arial" w:cs="Arial" w:eastAsia="Arial" w:hAnsi="Arial"/>
          <w:sz w:val="14"/>
          <w:szCs w:val="14"/>
          <w:color w:val="auto"/>
        </w:rPr>
        <w:t>All preconditions to the issue of the Sales Agreement Shares under the terms of the Sales Agreement will be satisfied or duly waived prior to the issue of the Sales Agreement Shares and there will be no breach of the terms of the Sales Agreement.</w:t>
      </w:r>
    </w:p>
    <w:p>
      <w:pPr>
        <w:spacing w:after="0" w:line="116" w:lineRule="exact"/>
        <w:rPr>
          <w:rFonts w:ascii="Arial" w:cs="Arial" w:eastAsia="Arial" w:hAnsi="Arial"/>
          <w:sz w:val="14"/>
          <w:szCs w:val="14"/>
          <w:color w:val="auto"/>
        </w:rPr>
      </w:pPr>
    </w:p>
    <w:p>
      <w:pPr>
        <w:jc w:val="both"/>
        <w:ind w:left="500" w:hanging="498"/>
        <w:spacing w:after="0" w:line="226" w:lineRule="auto"/>
        <w:tabs>
          <w:tab w:leader="none" w:pos="495"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There are no provisions of the laws of any jurisdiction outside the Cayman Islands which would be contravened by the issuance and allotment of the Ordinary Shares, the Preferred Shares or the Sales Agreement Shares and, insofar as any obligation expressed to be incurred under any of the Documents is to be performed in or is otherwise subject to the laws of any jurisdiction outside the Cayman Islands, its performance will not be illegal by virtue of the laws of that jurisdiction.</w:t>
      </w:r>
    </w:p>
    <w:p>
      <w:pPr>
        <w:spacing w:after="0" w:line="119" w:lineRule="exact"/>
        <w:rPr>
          <w:rFonts w:ascii="Arial" w:cs="Arial" w:eastAsia="Arial" w:hAnsi="Arial"/>
          <w:sz w:val="14"/>
          <w:szCs w:val="14"/>
          <w:color w:val="auto"/>
        </w:rPr>
      </w:pPr>
    </w:p>
    <w:p>
      <w:pPr>
        <w:ind w:left="480" w:hanging="478"/>
        <w:spacing w:after="0"/>
        <w:tabs>
          <w:tab w:leader="none" w:pos="48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There is nothing under any law (other than the laws of the Cayman Islands) which would or might affect any of the opinions set forth above.</w:t>
      </w:r>
    </w:p>
    <w:p>
      <w:pPr>
        <w:spacing w:after="0" w:line="136" w:lineRule="exact"/>
        <w:rPr>
          <w:rFonts w:ascii="Arial" w:cs="Arial" w:eastAsia="Arial" w:hAnsi="Arial"/>
          <w:sz w:val="14"/>
          <w:szCs w:val="14"/>
          <w:color w:val="auto"/>
        </w:rPr>
      </w:pPr>
    </w:p>
    <w:p>
      <w:pPr>
        <w:ind w:left="480" w:hanging="478"/>
        <w:spacing w:after="0"/>
        <w:tabs>
          <w:tab w:leader="none" w:pos="48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Our opinion as to good standing is based solely upon receipt of the Certificate of Good Standing (as defined in Schedule 1) issued by the Registrar.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Walkers</w:t>
      </w:r>
    </w:p>
    <w:p>
      <w:pPr>
        <w:spacing w:after="0" w:line="67" w:lineRule="exact"/>
        <w:rPr>
          <w:sz w:val="20"/>
          <w:szCs w:val="20"/>
          <w:color w:val="auto"/>
        </w:rPr>
      </w:pPr>
    </w:p>
    <w:p>
      <w:pPr>
        <w:jc w:val="right"/>
        <w:ind w:right="1840"/>
        <w:spacing w:after="0"/>
        <w:rPr>
          <w:sz w:val="20"/>
          <w:szCs w:val="20"/>
          <w:color w:val="auto"/>
        </w:rPr>
      </w:pPr>
      <w:r>
        <w:rPr>
          <w:rFonts w:ascii="Arial" w:cs="Arial" w:eastAsia="Arial" w:hAnsi="Arial"/>
          <w:sz w:val="10"/>
          <w:szCs w:val="10"/>
          <w:color w:val="auto"/>
        </w:rPr>
        <w:t>190 Elgin Avenue, George Town</w:t>
      </w:r>
    </w:p>
    <w:p>
      <w:pPr>
        <w:spacing w:after="0" w:line="59" w:lineRule="exact"/>
        <w:rPr>
          <w:sz w:val="20"/>
          <w:szCs w:val="20"/>
          <w:color w:val="auto"/>
        </w:rPr>
      </w:pPr>
    </w:p>
    <w:p>
      <w:pPr>
        <w:jc w:val="right"/>
        <w:ind w:right="1840"/>
        <w:spacing w:after="0"/>
        <w:rPr>
          <w:sz w:val="20"/>
          <w:szCs w:val="20"/>
          <w:color w:val="auto"/>
        </w:rPr>
      </w:pPr>
      <w:r>
        <w:rPr>
          <w:rFonts w:ascii="Arial" w:cs="Arial" w:eastAsia="Arial" w:hAnsi="Arial"/>
          <w:sz w:val="10"/>
          <w:szCs w:val="10"/>
          <w:color w:val="auto"/>
        </w:rPr>
        <w:t>Grand Cayman KY1-9001, Cayman Islands</w:t>
      </w:r>
    </w:p>
    <w:p>
      <w:pPr>
        <w:spacing w:after="0" w:line="57" w:lineRule="exact"/>
        <w:rPr>
          <w:sz w:val="20"/>
          <w:szCs w:val="20"/>
          <w:color w:val="auto"/>
        </w:rPr>
      </w:pPr>
    </w:p>
    <w:p>
      <w:pPr>
        <w:jc w:val="right"/>
        <w:ind w:right="1840"/>
        <w:spacing w:after="0"/>
        <w:rPr>
          <w:sz w:val="20"/>
          <w:szCs w:val="20"/>
          <w:color w:val="auto"/>
        </w:rPr>
      </w:pPr>
      <w:r>
        <w:rPr>
          <w:rFonts w:ascii="Arial" w:cs="Arial" w:eastAsia="Arial" w:hAnsi="Arial"/>
          <w:sz w:val="10"/>
          <w:szCs w:val="10"/>
          <w:b w:val="1"/>
          <w:bCs w:val="1"/>
          <w:color w:val="auto"/>
        </w:rPr>
        <w:t xml:space="preserve">T </w:t>
      </w:r>
      <w:r>
        <w:rPr>
          <w:rFonts w:ascii="Arial" w:cs="Arial" w:eastAsia="Arial" w:hAnsi="Arial"/>
          <w:sz w:val="10"/>
          <w:szCs w:val="10"/>
          <w:color w:val="auto"/>
        </w:rPr>
        <w:t>+1 345 949 0100</w:t>
      </w:r>
      <w:r>
        <w:rPr>
          <w:rFonts w:ascii="Arial" w:cs="Arial" w:eastAsia="Arial" w:hAnsi="Arial"/>
          <w:sz w:val="10"/>
          <w:szCs w:val="10"/>
          <w:b w:val="1"/>
          <w:bCs w:val="1"/>
          <w:color w:val="auto"/>
        </w:rPr>
        <w:t xml:space="preserve"> F </w:t>
      </w:r>
      <w:r>
        <w:rPr>
          <w:rFonts w:ascii="Arial" w:cs="Arial" w:eastAsia="Arial" w:hAnsi="Arial"/>
          <w:sz w:val="10"/>
          <w:szCs w:val="10"/>
          <w:color w:val="auto"/>
        </w:rPr>
        <w:t>+1 345 949 7886 www.walkersglobal.com</w:t>
      </w:r>
    </w:p>
    <w:p>
      <w:pPr>
        <w:sectPr>
          <w:pgSz w:w="11900" w:h="16838" w:orient="portrait"/>
          <w:cols w:equalWidth="0" w:num="1">
            <w:col w:w="11280"/>
          </w:cols>
          <w:pgMar w:left="300" w:top="156" w:right="319" w:bottom="1440" w:gutter="0" w:footer="0" w:header="0"/>
        </w:sectPr>
      </w:pPr>
    </w:p>
    <w:bookmarkStart w:id="157" w:name="page158"/>
    <w:bookmarkEnd w:id="157"/>
    <w:p>
      <w:pPr>
        <w:ind w:left="60"/>
        <w:spacing w:after="0"/>
        <w:rPr>
          <w:sz w:val="20"/>
          <w:szCs w:val="20"/>
          <w:color w:val="auto"/>
        </w:rPr>
      </w:pPr>
      <w:r>
        <w:rPr>
          <w:rFonts w:ascii="Arial" w:cs="Arial" w:eastAsia="Arial" w:hAnsi="Arial"/>
          <w:sz w:val="14"/>
          <w:szCs w:val="14"/>
          <w:b w:val="1"/>
          <w:bCs w:val="1"/>
          <w:color w:val="auto"/>
        </w:rPr>
        <w:t>WALKERS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00"/>
        <w:spacing w:after="0" w:line="233" w:lineRule="auto"/>
        <w:rPr>
          <w:sz w:val="20"/>
          <w:szCs w:val="20"/>
          <w:color w:val="auto"/>
        </w:rPr>
      </w:pPr>
      <w:r>
        <w:rPr>
          <w:rFonts w:ascii="Arial" w:cs="Arial" w:eastAsia="Arial" w:hAnsi="Arial"/>
          <w:sz w:val="14"/>
          <w:szCs w:val="14"/>
          <w:color w:val="auto"/>
        </w:rPr>
        <w:t>shall be deemed to be in good standing under section 200A of the Companies Act on the date of issue of the certificate if all fees and penalties under the Companies Act have been paid and the Registrar has no knowledge that the Company is in default under the Companies Act.</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This opinion is limited to the matters referred to herein and shall not be construed as extending to any other matter or document not referred to herein. This opinion is given solely for your benefit and the benefit of your legal advisers acting in that capacity in relation to this transaction and may not be relied upon by any other person, other than persons entitled to rely upon it pursuant to the provisions of the Securities Act, without our prior written consent.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This opinion shall be construed in accordance with the laws of the Cayman Islands.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hereby consent to the use of this opinion as an exhibit to the Registration Statement and further consent to all references to us in the Registration Statement and any amendments thereto.</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/s/ Walkers (Cayman) LLP</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WALKERS (CAYMAN) LLP</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Walkers</w:t>
      </w:r>
    </w:p>
    <w:p>
      <w:pPr>
        <w:spacing w:after="0" w:line="67" w:lineRule="exact"/>
        <w:rPr>
          <w:sz w:val="20"/>
          <w:szCs w:val="20"/>
          <w:color w:val="auto"/>
        </w:rPr>
      </w:pPr>
    </w:p>
    <w:p>
      <w:pPr>
        <w:jc w:val="right"/>
        <w:ind w:right="1840"/>
        <w:spacing w:after="0"/>
        <w:rPr>
          <w:sz w:val="20"/>
          <w:szCs w:val="20"/>
          <w:color w:val="auto"/>
        </w:rPr>
      </w:pPr>
      <w:r>
        <w:rPr>
          <w:rFonts w:ascii="Arial" w:cs="Arial" w:eastAsia="Arial" w:hAnsi="Arial"/>
          <w:sz w:val="10"/>
          <w:szCs w:val="10"/>
          <w:color w:val="auto"/>
        </w:rPr>
        <w:t>190 Elgin Avenue, George Town</w:t>
      </w:r>
    </w:p>
    <w:p>
      <w:pPr>
        <w:spacing w:after="0" w:line="59" w:lineRule="exact"/>
        <w:rPr>
          <w:sz w:val="20"/>
          <w:szCs w:val="20"/>
          <w:color w:val="auto"/>
        </w:rPr>
      </w:pPr>
    </w:p>
    <w:p>
      <w:pPr>
        <w:jc w:val="right"/>
        <w:ind w:right="1840"/>
        <w:spacing w:after="0"/>
        <w:rPr>
          <w:sz w:val="20"/>
          <w:szCs w:val="20"/>
          <w:color w:val="auto"/>
        </w:rPr>
      </w:pPr>
      <w:r>
        <w:rPr>
          <w:rFonts w:ascii="Arial" w:cs="Arial" w:eastAsia="Arial" w:hAnsi="Arial"/>
          <w:sz w:val="10"/>
          <w:szCs w:val="10"/>
          <w:color w:val="auto"/>
        </w:rPr>
        <w:t>Grand Cayman KY1-9001, Cayman Islands</w:t>
      </w:r>
    </w:p>
    <w:p>
      <w:pPr>
        <w:spacing w:after="0" w:line="57" w:lineRule="exact"/>
        <w:rPr>
          <w:sz w:val="20"/>
          <w:szCs w:val="20"/>
          <w:color w:val="auto"/>
        </w:rPr>
      </w:pPr>
    </w:p>
    <w:p>
      <w:pPr>
        <w:jc w:val="right"/>
        <w:ind w:right="1840"/>
        <w:spacing w:after="0"/>
        <w:rPr>
          <w:sz w:val="20"/>
          <w:szCs w:val="20"/>
          <w:color w:val="auto"/>
        </w:rPr>
      </w:pPr>
      <w:r>
        <w:rPr>
          <w:rFonts w:ascii="Arial" w:cs="Arial" w:eastAsia="Arial" w:hAnsi="Arial"/>
          <w:sz w:val="10"/>
          <w:szCs w:val="10"/>
          <w:b w:val="1"/>
          <w:bCs w:val="1"/>
          <w:color w:val="auto"/>
        </w:rPr>
        <w:t xml:space="preserve">T </w:t>
      </w:r>
      <w:r>
        <w:rPr>
          <w:rFonts w:ascii="Arial" w:cs="Arial" w:eastAsia="Arial" w:hAnsi="Arial"/>
          <w:sz w:val="10"/>
          <w:szCs w:val="10"/>
          <w:color w:val="auto"/>
        </w:rPr>
        <w:t>+1 345 949 0100</w:t>
      </w:r>
      <w:r>
        <w:rPr>
          <w:rFonts w:ascii="Arial" w:cs="Arial" w:eastAsia="Arial" w:hAnsi="Arial"/>
          <w:sz w:val="10"/>
          <w:szCs w:val="10"/>
          <w:b w:val="1"/>
          <w:bCs w:val="1"/>
          <w:color w:val="auto"/>
        </w:rPr>
        <w:t xml:space="preserve"> F </w:t>
      </w:r>
      <w:r>
        <w:rPr>
          <w:rFonts w:ascii="Arial" w:cs="Arial" w:eastAsia="Arial" w:hAnsi="Arial"/>
          <w:sz w:val="10"/>
          <w:szCs w:val="10"/>
          <w:color w:val="auto"/>
        </w:rPr>
        <w:t>+1 345 949 7886 www.walkersglobal.com</w:t>
      </w:r>
    </w:p>
    <w:p>
      <w:pPr>
        <w:sectPr>
          <w:pgSz w:w="11900" w:h="16838" w:orient="portrait"/>
          <w:cols w:equalWidth="0" w:num="1">
            <w:col w:w="11280"/>
          </w:cols>
          <w:pgMar w:left="300" w:top="156" w:right="319" w:bottom="1440" w:gutter="0" w:footer="0" w:header="0"/>
        </w:sectPr>
      </w:pPr>
    </w:p>
    <w:bookmarkStart w:id="158" w:name="page159"/>
    <w:bookmarkEnd w:id="158"/>
    <w:p>
      <w:pPr>
        <w:ind w:left="58"/>
        <w:spacing w:after="0"/>
        <w:rPr>
          <w:sz w:val="20"/>
          <w:szCs w:val="20"/>
          <w:color w:val="auto"/>
        </w:rPr>
      </w:pPr>
      <w:r>
        <w:rPr>
          <w:rFonts w:ascii="Arial" w:cs="Arial" w:eastAsia="Arial" w:hAnsi="Arial"/>
          <w:sz w:val="14"/>
          <w:szCs w:val="14"/>
          <w:b w:val="1"/>
          <w:bCs w:val="1"/>
          <w:color w:val="auto"/>
        </w:rPr>
        <w:t>WALKERS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138"/>
        <w:spacing w:after="0"/>
        <w:rPr>
          <w:sz w:val="20"/>
          <w:szCs w:val="20"/>
          <w:color w:val="auto"/>
        </w:rPr>
      </w:pPr>
      <w:r>
        <w:rPr>
          <w:rFonts w:ascii="Arial" w:cs="Arial" w:eastAsia="Arial" w:hAnsi="Arial"/>
          <w:sz w:val="14"/>
          <w:szCs w:val="14"/>
          <w:b w:val="1"/>
          <w:bCs w:val="1"/>
          <w:color w:val="auto"/>
        </w:rPr>
        <w:t>Schedule 1</w:t>
      </w:r>
    </w:p>
    <w:p>
      <w:pPr>
        <w:spacing w:after="0" w:line="147" w:lineRule="exact"/>
        <w:rPr>
          <w:sz w:val="20"/>
          <w:szCs w:val="20"/>
          <w:color w:val="auto"/>
        </w:rPr>
      </w:pPr>
    </w:p>
    <w:p>
      <w:pPr>
        <w:ind w:left="4538"/>
        <w:spacing w:after="0"/>
        <w:rPr>
          <w:sz w:val="20"/>
          <w:szCs w:val="20"/>
          <w:color w:val="auto"/>
        </w:rPr>
      </w:pPr>
      <w:r>
        <w:rPr>
          <w:rFonts w:ascii="Arial" w:cs="Arial" w:eastAsia="Arial" w:hAnsi="Arial"/>
          <w:sz w:val="14"/>
          <w:szCs w:val="14"/>
          <w:b w:val="1"/>
          <w:bCs w:val="1"/>
          <w:color w:val="auto"/>
        </w:rPr>
        <w:t>LIST OF DOCUMENTS EXAMINED</w:t>
      </w:r>
    </w:p>
    <w:p>
      <w:pPr>
        <w:spacing w:after="0" w:line="169" w:lineRule="exact"/>
        <w:rPr>
          <w:sz w:val="20"/>
          <w:szCs w:val="20"/>
          <w:color w:val="auto"/>
        </w:rPr>
      </w:pPr>
    </w:p>
    <w:p>
      <w:pPr>
        <w:jc w:val="both"/>
        <w:ind w:left="498" w:hanging="498"/>
        <w:spacing w:after="0" w:line="263" w:lineRule="auto"/>
        <w:tabs>
          <w:tab w:leader="none" w:pos="489"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Certificate of Registration By Way of Continuation of the Company dated 16 June 2025, the Memorandum and Articles of Association of the Company adopted by special resolution on 5 June 2025 and effective as of 16 June 2025) (the "</w:t>
      </w:r>
      <w:r>
        <w:rPr>
          <w:rFonts w:ascii="Arial" w:cs="Arial" w:eastAsia="Arial" w:hAnsi="Arial"/>
          <w:sz w:val="14"/>
          <w:szCs w:val="14"/>
          <w:b w:val="1"/>
          <w:bCs w:val="1"/>
          <w:color w:val="auto"/>
        </w:rPr>
        <w:t>Memorandum and Articles of Association</w:t>
      </w:r>
      <w:r>
        <w:rPr>
          <w:rFonts w:ascii="Arial" w:cs="Arial" w:eastAsia="Arial" w:hAnsi="Arial"/>
          <w:sz w:val="14"/>
          <w:szCs w:val="14"/>
          <w:color w:val="auto"/>
        </w:rPr>
        <w:t>") and each of the Register of Directors, Register of Officers and Register of Mortgages and Charges of the Company (together, the "</w:t>
      </w:r>
      <w:r>
        <w:rPr>
          <w:rFonts w:ascii="Arial" w:cs="Arial" w:eastAsia="Arial" w:hAnsi="Arial"/>
          <w:sz w:val="14"/>
          <w:szCs w:val="14"/>
          <w:b w:val="1"/>
          <w:bCs w:val="1"/>
          <w:color w:val="auto"/>
        </w:rPr>
        <w:t>Company Records</w:t>
      </w:r>
      <w:r>
        <w:rPr>
          <w:rFonts w:ascii="Arial" w:cs="Arial" w:eastAsia="Arial" w:hAnsi="Arial"/>
          <w:sz w:val="14"/>
          <w:szCs w:val="14"/>
          <w:color w:val="auto"/>
        </w:rPr>
        <w:t>").</w:t>
      </w:r>
    </w:p>
    <w:p>
      <w:pPr>
        <w:spacing w:after="0" w:line="127" w:lineRule="exact"/>
        <w:rPr>
          <w:rFonts w:ascii="Arial" w:cs="Arial" w:eastAsia="Arial" w:hAnsi="Arial"/>
          <w:sz w:val="14"/>
          <w:szCs w:val="14"/>
          <w:color w:val="auto"/>
        </w:rPr>
      </w:pPr>
    </w:p>
    <w:p>
      <w:pPr>
        <w:ind w:left="478" w:hanging="478"/>
        <w:spacing w:after="0"/>
        <w:tabs>
          <w:tab w:leader="none" w:pos="478"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Cayman Online Registry Information System (CORIS), the Cayman Islands' General Registry's online database, searched on 30 June 2026.</w:t>
      </w:r>
    </w:p>
    <w:p>
      <w:pPr>
        <w:spacing w:after="0" w:line="185" w:lineRule="exact"/>
        <w:rPr>
          <w:rFonts w:ascii="Arial" w:cs="Arial" w:eastAsia="Arial" w:hAnsi="Arial"/>
          <w:sz w:val="14"/>
          <w:szCs w:val="14"/>
          <w:color w:val="auto"/>
        </w:rPr>
      </w:pPr>
    </w:p>
    <w:p>
      <w:pPr>
        <w:ind w:left="478" w:hanging="478"/>
        <w:spacing w:after="0"/>
        <w:tabs>
          <w:tab w:leader="none" w:pos="478" w:val="left"/>
        </w:tabs>
        <w:numPr>
          <w:ilvl w:val="0"/>
          <w:numId w:val="127"/>
        </w:numPr>
        <w:rPr>
          <w:rFonts w:ascii="Arial" w:cs="Arial" w:eastAsia="Arial" w:hAnsi="Arial"/>
          <w:sz w:val="14"/>
          <w:szCs w:val="14"/>
          <w:color w:val="auto"/>
        </w:rPr>
      </w:pPr>
      <w:r>
        <w:rPr>
          <w:rFonts w:ascii="Arial" w:cs="Arial" w:eastAsia="Arial" w:hAnsi="Arial"/>
          <w:sz w:val="14"/>
          <w:szCs w:val="14"/>
          <w:color w:val="auto"/>
        </w:rPr>
        <w:t>A Certificate of Good Standing dated 30 June 2026 in respect of the Company issued by the Registrar (the "</w:t>
      </w:r>
      <w:r>
        <w:rPr>
          <w:rFonts w:ascii="Arial" w:cs="Arial" w:eastAsia="Arial" w:hAnsi="Arial"/>
          <w:sz w:val="14"/>
          <w:szCs w:val="14"/>
          <w:b w:val="1"/>
          <w:bCs w:val="1"/>
          <w:color w:val="auto"/>
        </w:rPr>
        <w:t>Certificate of Good Standing</w:t>
      </w:r>
      <w:r>
        <w:rPr>
          <w:rFonts w:ascii="Arial" w:cs="Arial" w:eastAsia="Arial" w:hAnsi="Arial"/>
          <w:sz w:val="14"/>
          <w:szCs w:val="14"/>
          <w:color w:val="auto"/>
        </w:rPr>
        <w:t>").</w:t>
      </w:r>
    </w:p>
    <w:p>
      <w:pPr>
        <w:spacing w:after="0" w:line="169" w:lineRule="exact"/>
        <w:rPr>
          <w:rFonts w:ascii="Arial" w:cs="Arial" w:eastAsia="Arial" w:hAnsi="Arial"/>
          <w:sz w:val="14"/>
          <w:szCs w:val="14"/>
          <w:color w:val="auto"/>
        </w:rPr>
      </w:pPr>
    </w:p>
    <w:p>
      <w:pPr>
        <w:ind w:left="498" w:hanging="498"/>
        <w:spacing w:after="0" w:line="266" w:lineRule="auto"/>
        <w:tabs>
          <w:tab w:leader="none" w:pos="489" w:val="left"/>
        </w:tabs>
        <w:numPr>
          <w:ilvl w:val="0"/>
          <w:numId w:val="127"/>
        </w:numPr>
        <w:rPr>
          <w:rFonts w:ascii="Arial" w:cs="Arial" w:eastAsia="Arial" w:hAnsi="Arial"/>
          <w:sz w:val="14"/>
          <w:szCs w:val="14"/>
          <w:color w:val="auto"/>
        </w:rPr>
      </w:pPr>
      <w:r>
        <w:rPr>
          <w:rFonts w:ascii="Arial" w:cs="Arial" w:eastAsia="Arial" w:hAnsi="Arial"/>
          <w:sz w:val="14"/>
          <w:szCs w:val="14"/>
          <w:color w:val="auto"/>
        </w:rPr>
        <w:t>A copy of the executed written resolutions of the Board of Directors of the Company dated 28 June 2026 and a copy of the executed written resolutions of the ATM Pricing Committee of the Board of Directors of the Company dated 30 June 2026 (the "</w:t>
      </w:r>
      <w:r>
        <w:rPr>
          <w:rFonts w:ascii="Arial" w:cs="Arial" w:eastAsia="Arial" w:hAnsi="Arial"/>
          <w:sz w:val="14"/>
          <w:szCs w:val="14"/>
          <w:b w:val="1"/>
          <w:bCs w:val="1"/>
          <w:color w:val="auto"/>
        </w:rPr>
        <w:t>Resolutions</w:t>
      </w:r>
      <w:r>
        <w:rPr>
          <w:rFonts w:ascii="Arial" w:cs="Arial" w:eastAsia="Arial" w:hAnsi="Arial"/>
          <w:sz w:val="14"/>
          <w:szCs w:val="14"/>
          <w:color w:val="auto"/>
        </w:rPr>
        <w:t>").</w:t>
      </w:r>
    </w:p>
    <w:p>
      <w:pPr>
        <w:spacing w:after="0" w:line="123" w:lineRule="exact"/>
        <w:rPr>
          <w:rFonts w:ascii="Arial" w:cs="Arial" w:eastAsia="Arial" w:hAnsi="Arial"/>
          <w:sz w:val="14"/>
          <w:szCs w:val="14"/>
          <w:color w:val="auto"/>
        </w:rPr>
      </w:pPr>
    </w:p>
    <w:p>
      <w:pPr>
        <w:ind w:left="478" w:hanging="478"/>
        <w:spacing w:after="0"/>
        <w:tabs>
          <w:tab w:leader="none" w:pos="478" w:val="left"/>
        </w:tabs>
        <w:numPr>
          <w:ilvl w:val="0"/>
          <w:numId w:val="127"/>
        </w:numPr>
        <w:rPr>
          <w:rFonts w:ascii="Arial" w:cs="Arial" w:eastAsia="Arial" w:hAnsi="Arial"/>
          <w:sz w:val="14"/>
          <w:szCs w:val="14"/>
          <w:color w:val="auto"/>
        </w:rPr>
      </w:pPr>
      <w:r>
        <w:rPr>
          <w:rFonts w:ascii="Arial" w:cs="Arial" w:eastAsia="Arial" w:hAnsi="Arial"/>
          <w:sz w:val="14"/>
          <w:szCs w:val="14"/>
          <w:color w:val="auto"/>
        </w:rPr>
        <w:t>Copies of the following documents (the "</w:t>
      </w:r>
      <w:r>
        <w:rPr>
          <w:rFonts w:ascii="Arial" w:cs="Arial" w:eastAsia="Arial" w:hAnsi="Arial"/>
          <w:sz w:val="14"/>
          <w:szCs w:val="14"/>
          <w:b w:val="1"/>
          <w:bCs w:val="1"/>
          <w:color w:val="auto"/>
        </w:rPr>
        <w:t>Documents</w:t>
      </w:r>
      <w:r>
        <w:rPr>
          <w:rFonts w:ascii="Arial" w:cs="Arial" w:eastAsia="Arial" w:hAnsi="Arial"/>
          <w:sz w:val="14"/>
          <w:szCs w:val="14"/>
          <w:color w:val="auto"/>
        </w:rPr>
        <w:t>"):</w:t>
      </w:r>
    </w:p>
    <w:p>
      <w:pPr>
        <w:spacing w:after="0" w:line="157" w:lineRule="exact"/>
        <w:rPr>
          <w:rFonts w:ascii="Arial" w:cs="Arial" w:eastAsia="Arial" w:hAnsi="Arial"/>
          <w:sz w:val="14"/>
          <w:szCs w:val="14"/>
          <w:color w:val="auto"/>
        </w:rPr>
      </w:pPr>
    </w:p>
    <w:p>
      <w:pPr>
        <w:jc w:val="both"/>
        <w:ind w:left="978" w:hanging="486"/>
        <w:spacing w:after="0" w:line="225" w:lineRule="auto"/>
        <w:tabs>
          <w:tab w:leader="none" w:pos="971" w:val="left"/>
        </w:tabs>
        <w:numPr>
          <w:ilvl w:val="1"/>
          <w:numId w:val="127"/>
        </w:numPr>
        <w:rPr>
          <w:rFonts w:ascii="Arial" w:cs="Arial" w:eastAsia="Arial" w:hAnsi="Arial"/>
          <w:sz w:val="14"/>
          <w:szCs w:val="14"/>
          <w:color w:val="auto"/>
        </w:rPr>
      </w:pPr>
      <w:r>
        <w:rPr>
          <w:rFonts w:ascii="Arial" w:cs="Arial" w:eastAsia="Arial" w:hAnsi="Arial"/>
          <w:sz w:val="14"/>
          <w:szCs w:val="14"/>
          <w:color w:val="auto"/>
        </w:rPr>
        <w:t>the Registration Statement on Form S-3 containing a base prospectus related to the Securities (the "</w:t>
      </w:r>
      <w:r>
        <w:rPr>
          <w:rFonts w:ascii="Arial" w:cs="Arial" w:eastAsia="Arial" w:hAnsi="Arial"/>
          <w:sz w:val="14"/>
          <w:szCs w:val="14"/>
          <w:b w:val="1"/>
          <w:bCs w:val="1"/>
          <w:color w:val="auto"/>
        </w:rPr>
        <w:t>Base Prospectus</w:t>
      </w:r>
      <w:r>
        <w:rPr>
          <w:rFonts w:ascii="Arial" w:cs="Arial" w:eastAsia="Arial" w:hAnsi="Arial"/>
          <w:sz w:val="14"/>
          <w:szCs w:val="14"/>
          <w:color w:val="auto"/>
        </w:rPr>
        <w:t>") and a sales agreement prospectus supplement relating to the Sales Agreement Shares (the "</w:t>
      </w:r>
      <w:r>
        <w:rPr>
          <w:rFonts w:ascii="Arial" w:cs="Arial" w:eastAsia="Arial" w:hAnsi="Arial"/>
          <w:sz w:val="14"/>
          <w:szCs w:val="14"/>
          <w:b w:val="1"/>
          <w:bCs w:val="1"/>
          <w:color w:val="auto"/>
        </w:rPr>
        <w:t>Prospectus</w:t>
      </w:r>
      <w:r>
        <w:rPr>
          <w:rFonts w:ascii="Arial" w:cs="Arial" w:eastAsia="Arial" w:hAnsi="Arial"/>
          <w:sz w:val="14"/>
          <w:szCs w:val="14"/>
          <w:color w:val="auto"/>
        </w:rPr>
        <w:t>") to be filed by the Company with the United States Securities and Exchange Commission to (the "</w:t>
      </w:r>
      <w:r>
        <w:rPr>
          <w:rFonts w:ascii="Arial" w:cs="Arial" w:eastAsia="Arial" w:hAnsi="Arial"/>
          <w:sz w:val="14"/>
          <w:szCs w:val="14"/>
          <w:b w:val="1"/>
          <w:bCs w:val="1"/>
          <w:color w:val="auto"/>
        </w:rPr>
        <w:t>Registration</w:t>
      </w:r>
      <w:r>
        <w:rPr>
          <w:rFonts w:ascii="Arial" w:cs="Arial" w:eastAsia="Arial" w:hAnsi="Arial"/>
          <w:sz w:val="14"/>
          <w:szCs w:val="14"/>
          <w:color w:val="auto"/>
        </w:rPr>
        <w:t xml:space="preserve"> </w:t>
      </w:r>
      <w:r>
        <w:rPr>
          <w:rFonts w:ascii="Arial" w:cs="Arial" w:eastAsia="Arial" w:hAnsi="Arial"/>
          <w:sz w:val="14"/>
          <w:szCs w:val="14"/>
          <w:b w:val="1"/>
          <w:bCs w:val="1"/>
          <w:color w:val="auto"/>
        </w:rPr>
        <w:t>Statement</w:t>
      </w:r>
      <w:r>
        <w:rPr>
          <w:rFonts w:ascii="Arial" w:cs="Arial" w:eastAsia="Arial" w:hAnsi="Arial"/>
          <w:sz w:val="14"/>
          <w:szCs w:val="14"/>
          <w:color w:val="auto"/>
        </w:rPr>
        <w:t>"); and</w:t>
      </w:r>
    </w:p>
    <w:p>
      <w:pPr>
        <w:spacing w:after="0" w:line="111" w:lineRule="exact"/>
        <w:rPr>
          <w:rFonts w:ascii="Arial" w:cs="Arial" w:eastAsia="Arial" w:hAnsi="Arial"/>
          <w:sz w:val="14"/>
          <w:szCs w:val="14"/>
          <w:color w:val="auto"/>
        </w:rPr>
      </w:pPr>
    </w:p>
    <w:p>
      <w:pPr>
        <w:ind w:left="978" w:hanging="486"/>
        <w:spacing w:after="0" w:line="223" w:lineRule="auto"/>
        <w:tabs>
          <w:tab w:leader="none" w:pos="971" w:val="left"/>
        </w:tabs>
        <w:numPr>
          <w:ilvl w:val="1"/>
          <w:numId w:val="127"/>
        </w:numPr>
        <w:rPr>
          <w:rFonts w:ascii="Arial" w:cs="Arial" w:eastAsia="Arial" w:hAnsi="Arial"/>
          <w:sz w:val="14"/>
          <w:szCs w:val="14"/>
          <w:color w:val="auto"/>
        </w:rPr>
      </w:pPr>
      <w:r>
        <w:rPr>
          <w:rFonts w:ascii="Arial" w:cs="Arial" w:eastAsia="Arial" w:hAnsi="Arial"/>
          <w:sz w:val="14"/>
          <w:szCs w:val="14"/>
          <w:color w:val="auto"/>
        </w:rPr>
        <w:t>the executed Open Market Sale Agreement</w:t>
      </w:r>
      <w:r>
        <w:rPr>
          <w:rFonts w:ascii="Arial" w:cs="Arial" w:eastAsia="Arial" w:hAnsi="Arial"/>
          <w:sz w:val="17"/>
          <w:szCs w:val="17"/>
          <w:color w:val="auto"/>
          <w:vertAlign w:val="superscript"/>
        </w:rPr>
        <w:t>SM</w:t>
      </w:r>
      <w:r>
        <w:rPr>
          <w:rFonts w:ascii="Arial" w:cs="Arial" w:eastAsia="Arial" w:hAnsi="Arial"/>
          <w:sz w:val="14"/>
          <w:szCs w:val="14"/>
          <w:color w:val="auto"/>
        </w:rPr>
        <w:t xml:space="preserve"> dated 1 July 2026 between the Company and Jefferies LLC, relating to the sale of the Sales Agreement Shares (the "</w:t>
      </w:r>
      <w:r>
        <w:rPr>
          <w:rFonts w:ascii="Arial" w:cs="Arial" w:eastAsia="Arial" w:hAnsi="Arial"/>
          <w:sz w:val="14"/>
          <w:szCs w:val="14"/>
          <w:b w:val="1"/>
          <w:bCs w:val="1"/>
          <w:color w:val="auto"/>
        </w:rPr>
        <w:t>Sales</w:t>
      </w:r>
      <w:r>
        <w:rPr>
          <w:rFonts w:ascii="Arial" w:cs="Arial" w:eastAsia="Arial" w:hAnsi="Arial"/>
          <w:sz w:val="14"/>
          <w:szCs w:val="14"/>
          <w:color w:val="auto"/>
        </w:rPr>
        <w:t xml:space="preserve"> </w:t>
      </w:r>
      <w:r>
        <w:rPr>
          <w:rFonts w:ascii="Arial" w:cs="Arial" w:eastAsia="Arial" w:hAnsi="Arial"/>
          <w:sz w:val="14"/>
          <w:szCs w:val="14"/>
          <w:b w:val="1"/>
          <w:bCs w:val="1"/>
          <w:color w:val="auto"/>
        </w:rPr>
        <w:t>Agreement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918"/>
        <w:spacing w:after="0"/>
        <w:rPr>
          <w:sz w:val="20"/>
          <w:szCs w:val="20"/>
          <w:color w:val="auto"/>
        </w:rPr>
      </w:pPr>
      <w:r>
        <w:rPr>
          <w:rFonts w:ascii="Arial" w:cs="Arial" w:eastAsia="Arial" w:hAnsi="Arial"/>
          <w:sz w:val="14"/>
          <w:szCs w:val="14"/>
          <w:b w:val="1"/>
          <w:bCs w:val="1"/>
          <w:color w:val="auto"/>
        </w:rPr>
        <w:t>Walkers</w:t>
      </w:r>
    </w:p>
    <w:p>
      <w:pPr>
        <w:spacing w:after="0" w:line="67" w:lineRule="exact"/>
        <w:rPr>
          <w:sz w:val="20"/>
          <w:szCs w:val="20"/>
          <w:color w:val="auto"/>
        </w:rPr>
      </w:pPr>
    </w:p>
    <w:p>
      <w:pPr>
        <w:ind w:left="8078"/>
        <w:spacing w:after="0"/>
        <w:rPr>
          <w:sz w:val="20"/>
          <w:szCs w:val="20"/>
          <w:color w:val="auto"/>
        </w:rPr>
      </w:pPr>
      <w:r>
        <w:rPr>
          <w:rFonts w:ascii="Arial" w:cs="Arial" w:eastAsia="Arial" w:hAnsi="Arial"/>
          <w:sz w:val="10"/>
          <w:szCs w:val="10"/>
          <w:color w:val="auto"/>
        </w:rPr>
        <w:t>190 Elgin Avenue, George Town</w:t>
      </w:r>
    </w:p>
    <w:p>
      <w:pPr>
        <w:spacing w:after="0" w:line="70" w:lineRule="exact"/>
        <w:rPr>
          <w:sz w:val="20"/>
          <w:szCs w:val="20"/>
          <w:color w:val="auto"/>
        </w:rPr>
      </w:pPr>
    </w:p>
    <w:p>
      <w:pPr>
        <w:ind w:left="7598"/>
        <w:spacing w:after="0"/>
        <w:rPr>
          <w:sz w:val="20"/>
          <w:szCs w:val="20"/>
          <w:color w:val="auto"/>
        </w:rPr>
      </w:pPr>
      <w:r>
        <w:rPr>
          <w:rFonts w:ascii="Arial" w:cs="Arial" w:eastAsia="Arial" w:hAnsi="Arial"/>
          <w:sz w:val="10"/>
          <w:szCs w:val="10"/>
          <w:color w:val="auto"/>
        </w:rPr>
        <w:t>Grand Cayman KY1-9001, Cayman Islands</w:t>
      </w:r>
    </w:p>
    <w:p>
      <w:pPr>
        <w:spacing w:after="0" w:line="57" w:lineRule="exact"/>
        <w:rPr>
          <w:sz w:val="20"/>
          <w:szCs w:val="20"/>
          <w:color w:val="auto"/>
        </w:rPr>
      </w:pPr>
    </w:p>
    <w:p>
      <w:pPr>
        <w:ind w:left="6758"/>
        <w:spacing w:after="0"/>
        <w:rPr>
          <w:sz w:val="20"/>
          <w:szCs w:val="20"/>
          <w:color w:val="auto"/>
        </w:rPr>
      </w:pPr>
      <w:r>
        <w:rPr>
          <w:rFonts w:ascii="Arial" w:cs="Arial" w:eastAsia="Arial" w:hAnsi="Arial"/>
          <w:sz w:val="10"/>
          <w:szCs w:val="10"/>
          <w:b w:val="1"/>
          <w:bCs w:val="1"/>
          <w:color w:val="auto"/>
        </w:rPr>
        <w:t xml:space="preserve">T </w:t>
      </w:r>
      <w:r>
        <w:rPr>
          <w:rFonts w:ascii="Arial" w:cs="Arial" w:eastAsia="Arial" w:hAnsi="Arial"/>
          <w:sz w:val="10"/>
          <w:szCs w:val="10"/>
          <w:color w:val="auto"/>
        </w:rPr>
        <w:t>+1 345 949 0100</w:t>
      </w:r>
      <w:r>
        <w:rPr>
          <w:rFonts w:ascii="Arial" w:cs="Arial" w:eastAsia="Arial" w:hAnsi="Arial"/>
          <w:sz w:val="10"/>
          <w:szCs w:val="10"/>
          <w:b w:val="1"/>
          <w:bCs w:val="1"/>
          <w:color w:val="auto"/>
        </w:rPr>
        <w:t xml:space="preserve"> F </w:t>
      </w:r>
      <w:r>
        <w:rPr>
          <w:rFonts w:ascii="Arial" w:cs="Arial" w:eastAsia="Arial" w:hAnsi="Arial"/>
          <w:sz w:val="10"/>
          <w:szCs w:val="10"/>
          <w:color w:val="auto"/>
        </w:rPr>
        <w:t>+1 345 949 7886 www.walkersglobal.com</w:t>
      </w:r>
    </w:p>
    <w:p>
      <w:pPr>
        <w:sectPr>
          <w:pgSz w:w="11900" w:h="16838" w:orient="portrait"/>
          <w:cols w:equalWidth="0" w:num="1">
            <w:col w:w="11278"/>
          </w:cols>
          <w:pgMar w:left="302" w:top="156" w:right="319" w:bottom="1440" w:gutter="0" w:footer="0" w:header="0"/>
        </w:sectPr>
      </w:pPr>
    </w:p>
    <w:bookmarkStart w:id="159" w:name="page160"/>
    <w:bookmarkEnd w:id="159"/>
    <w:p>
      <w:pPr>
        <w:jc w:val="center"/>
        <w:ind w:right="-239"/>
        <w:spacing w:after="0"/>
        <w:rPr>
          <w:sz w:val="20"/>
          <w:szCs w:val="20"/>
          <w:color w:val="auto"/>
        </w:rPr>
      </w:pPr>
      <w:r>
        <w:rPr>
          <w:rFonts w:ascii="Arial" w:cs="Arial" w:eastAsia="Arial" w:hAnsi="Arial"/>
          <w:sz w:val="14"/>
          <w:szCs w:val="14"/>
          <w:b w:val="1"/>
          <w:bCs w:val="1"/>
          <w:color w:val="auto"/>
        </w:rPr>
        <w:t>Exhibit 5.2</w:t>
      </w:r>
    </w:p>
    <w:p>
      <w:pPr>
        <w:spacing w:after="0" w:line="209" w:lineRule="exact"/>
        <w:rPr>
          <w:sz w:val="20"/>
          <w:szCs w:val="20"/>
          <w:color w:val="auto"/>
        </w:rPr>
      </w:pPr>
    </w:p>
    <w:p>
      <w:pPr>
        <w:ind w:left="4440"/>
        <w:spacing w:after="0"/>
        <w:rPr>
          <w:sz w:val="20"/>
          <w:szCs w:val="20"/>
          <w:color w:val="auto"/>
        </w:rPr>
      </w:pPr>
      <w:r>
        <w:rPr>
          <w:rFonts w:ascii="Arial" w:cs="Arial" w:eastAsia="Arial" w:hAnsi="Arial"/>
          <w:sz w:val="10"/>
          <w:szCs w:val="10"/>
          <w:color w:val="auto"/>
        </w:rPr>
        <w:t>200 Clarendon Street</w:t>
      </w:r>
    </w:p>
    <w:p>
      <w:pPr>
        <w:spacing w:after="0" w:line="29" w:lineRule="exact"/>
        <w:rPr>
          <w:sz w:val="20"/>
          <w:szCs w:val="20"/>
          <w:color w:val="auto"/>
        </w:rPr>
      </w:pPr>
    </w:p>
    <w:p>
      <w:pPr>
        <w:ind w:left="4440"/>
        <w:spacing w:after="0"/>
        <w:rPr>
          <w:sz w:val="20"/>
          <w:szCs w:val="20"/>
          <w:color w:val="auto"/>
        </w:rPr>
      </w:pPr>
      <w:r>
        <w:rPr>
          <w:rFonts w:ascii="Arial" w:cs="Arial" w:eastAsia="Arial" w:hAnsi="Arial"/>
          <w:sz w:val="10"/>
          <w:szCs w:val="10"/>
          <w:color w:val="auto"/>
        </w:rPr>
        <w:t>Boston, Massachusetts 02116</w:t>
      </w:r>
    </w:p>
    <w:p>
      <w:pPr>
        <w:spacing w:after="0" w:line="39" w:lineRule="exact"/>
        <w:rPr>
          <w:sz w:val="20"/>
          <w:szCs w:val="20"/>
          <w:color w:val="auto"/>
        </w:rPr>
      </w:pPr>
    </w:p>
    <w:p>
      <w:pPr>
        <w:ind w:left="4440"/>
        <w:spacing w:after="0"/>
        <w:rPr>
          <w:sz w:val="20"/>
          <w:szCs w:val="20"/>
          <w:color w:val="auto"/>
        </w:rPr>
      </w:pPr>
      <w:r>
        <w:rPr>
          <w:rFonts w:ascii="Arial" w:cs="Arial" w:eastAsia="Arial" w:hAnsi="Arial"/>
          <w:sz w:val="10"/>
          <w:szCs w:val="10"/>
          <w:color w:val="auto"/>
        </w:rPr>
        <w:t>Tel: +1.617.948.6000 Fax: +1.617.948.6001</w:t>
      </w:r>
    </w:p>
    <w:p>
      <w:pPr>
        <w:spacing w:after="0" w:line="39" w:lineRule="exact"/>
        <w:rPr>
          <w:sz w:val="20"/>
          <w:szCs w:val="20"/>
          <w:color w:val="auto"/>
        </w:rPr>
      </w:pPr>
    </w:p>
    <w:p>
      <w:pPr>
        <w:ind w:left="4440"/>
        <w:spacing w:after="0"/>
        <w:rPr>
          <w:sz w:val="20"/>
          <w:szCs w:val="20"/>
          <w:color w:val="auto"/>
        </w:rPr>
      </w:pPr>
      <w:r>
        <w:rPr>
          <w:rFonts w:ascii="Arial" w:cs="Arial" w:eastAsia="Arial" w:hAnsi="Arial"/>
          <w:sz w:val="10"/>
          <w:szCs w:val="10"/>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1875790" cy="1238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1875790" cy="123825"/>
                    </a:xfrm>
                    <a:prstGeom prst="rect">
                      <a:avLst/>
                    </a:prstGeom>
                    <a:noFill/>
                  </pic:spPr>
                </pic:pic>
              </a:graphicData>
            </a:graphic>
          </wp:anchor>
        </w:drawing>
      </w:r>
    </w:p>
    <w:p>
      <w:pPr>
        <w:spacing w:after="0" w:line="224" w:lineRule="exact"/>
        <w:rPr>
          <w:sz w:val="20"/>
          <w:szCs w:val="20"/>
          <w:color w:val="auto"/>
        </w:rPr>
      </w:pPr>
    </w:p>
    <w:tbl>
      <w:tblPr>
        <w:tblLayout w:type="fixed"/>
        <w:tblInd w:w="3440" w:type="dxa"/>
        <w:tblCellMar>
          <w:top w:w="0" w:type="dxa"/>
          <w:left w:w="0" w:type="dxa"/>
          <w:bottom w:w="0" w:type="dxa"/>
          <w:right w:w="0" w:type="dxa"/>
        </w:tblCellMar>
      </w:tblPr>
      <w:tr>
        <w:trPr>
          <w:trHeight w:val="125"/>
        </w:trPr>
        <w:tc>
          <w:tcPr>
            <w:tcW w:w="1460" w:type="dxa"/>
            <w:vAlign w:val="bottom"/>
          </w:tcPr>
          <w:p>
            <w:pPr>
              <w:spacing w:after="0"/>
              <w:rPr>
                <w:sz w:val="20"/>
                <w:szCs w:val="20"/>
                <w:color w:val="auto"/>
              </w:rPr>
            </w:pPr>
            <w:r>
              <w:rPr>
                <w:rFonts w:ascii="Arial" w:cs="Arial" w:eastAsia="Arial" w:hAnsi="Arial"/>
                <w:sz w:val="10"/>
                <w:szCs w:val="10"/>
                <w:color w:val="auto"/>
              </w:rPr>
              <w:t>FIRM / AFFILIATE OFFICES</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74"/>
        </w:trPr>
        <w:tc>
          <w:tcPr>
            <w:tcW w:w="1460" w:type="dxa"/>
            <w:vAlign w:val="bottom"/>
          </w:tcPr>
          <w:p>
            <w:pPr>
              <w:ind w:left="1000"/>
              <w:spacing w:after="0"/>
              <w:rPr>
                <w:sz w:val="20"/>
                <w:szCs w:val="20"/>
                <w:color w:val="auto"/>
              </w:rPr>
            </w:pPr>
            <w:r>
              <w:rPr>
                <w:rFonts w:ascii="Arial" w:cs="Arial" w:eastAsia="Arial" w:hAnsi="Arial"/>
                <w:sz w:val="10"/>
                <w:szCs w:val="10"/>
                <w:color w:val="auto"/>
              </w:rPr>
              <w:t>Austin</w:t>
            </w:r>
          </w:p>
        </w:tc>
        <w:tc>
          <w:tcPr>
            <w:tcW w:w="780" w:type="dxa"/>
            <w:vAlign w:val="bottom"/>
            <w:gridSpan w:val="2"/>
          </w:tcPr>
          <w:p>
            <w:pPr>
              <w:ind w:left="20"/>
              <w:spacing w:after="0"/>
              <w:rPr>
                <w:sz w:val="20"/>
                <w:szCs w:val="20"/>
                <w:color w:val="auto"/>
              </w:rPr>
            </w:pPr>
            <w:r>
              <w:rPr>
                <w:rFonts w:ascii="Arial" w:cs="Arial" w:eastAsia="Arial" w:hAnsi="Arial"/>
                <w:sz w:val="10"/>
                <w:szCs w:val="10"/>
                <w:color w:val="auto"/>
              </w:rPr>
              <w:t>Milan</w:t>
            </w:r>
          </w:p>
        </w:tc>
      </w:tr>
      <w:tr>
        <w:trPr>
          <w:trHeight w:val="144"/>
        </w:trPr>
        <w:tc>
          <w:tcPr>
            <w:tcW w:w="1460" w:type="dxa"/>
            <w:vAlign w:val="bottom"/>
          </w:tcPr>
          <w:p>
            <w:pPr>
              <w:ind w:left="1000"/>
              <w:spacing w:after="0"/>
              <w:rPr>
                <w:sz w:val="20"/>
                <w:szCs w:val="20"/>
                <w:color w:val="auto"/>
              </w:rPr>
            </w:pPr>
            <w:r>
              <w:rPr>
                <w:rFonts w:ascii="Arial" w:cs="Arial" w:eastAsia="Arial" w:hAnsi="Arial"/>
                <w:sz w:val="10"/>
                <w:szCs w:val="10"/>
                <w:color w:val="auto"/>
              </w:rPr>
              <w:t>Beijing</w:t>
            </w:r>
          </w:p>
        </w:tc>
        <w:tc>
          <w:tcPr>
            <w:tcW w:w="780" w:type="dxa"/>
            <w:vAlign w:val="bottom"/>
            <w:gridSpan w:val="2"/>
          </w:tcPr>
          <w:p>
            <w:pPr>
              <w:ind w:left="40"/>
              <w:spacing w:after="0"/>
              <w:rPr>
                <w:sz w:val="20"/>
                <w:szCs w:val="20"/>
                <w:color w:val="auto"/>
              </w:rPr>
            </w:pPr>
            <w:r>
              <w:rPr>
                <w:rFonts w:ascii="Arial" w:cs="Arial" w:eastAsia="Arial" w:hAnsi="Arial"/>
                <w:sz w:val="10"/>
                <w:szCs w:val="10"/>
                <w:color w:val="auto"/>
              </w:rPr>
              <w:t>Munich</w:t>
            </w:r>
          </w:p>
        </w:tc>
      </w:tr>
      <w:tr>
        <w:trPr>
          <w:trHeight w:val="154"/>
        </w:trPr>
        <w:tc>
          <w:tcPr>
            <w:tcW w:w="1460" w:type="dxa"/>
            <w:vAlign w:val="bottom"/>
          </w:tcPr>
          <w:p>
            <w:pPr>
              <w:ind w:left="1000"/>
              <w:spacing w:after="0"/>
              <w:rPr>
                <w:sz w:val="20"/>
                <w:szCs w:val="20"/>
                <w:color w:val="auto"/>
              </w:rPr>
            </w:pPr>
            <w:r>
              <w:rPr>
                <w:rFonts w:ascii="Arial" w:cs="Arial" w:eastAsia="Arial" w:hAnsi="Arial"/>
                <w:sz w:val="10"/>
                <w:szCs w:val="10"/>
                <w:color w:val="auto"/>
              </w:rPr>
              <w:t>Boston</w:t>
            </w:r>
          </w:p>
        </w:tc>
        <w:tc>
          <w:tcPr>
            <w:tcW w:w="780" w:type="dxa"/>
            <w:vAlign w:val="bottom"/>
            <w:gridSpan w:val="2"/>
          </w:tcPr>
          <w:p>
            <w:pPr>
              <w:ind w:left="40"/>
              <w:spacing w:after="0"/>
              <w:rPr>
                <w:sz w:val="20"/>
                <w:szCs w:val="20"/>
                <w:color w:val="auto"/>
              </w:rPr>
            </w:pPr>
            <w:r>
              <w:rPr>
                <w:rFonts w:ascii="Arial" w:cs="Arial" w:eastAsia="Arial" w:hAnsi="Arial"/>
                <w:sz w:val="10"/>
                <w:szCs w:val="10"/>
                <w:color w:val="auto"/>
              </w:rPr>
              <w:t>New York</w:t>
            </w:r>
          </w:p>
        </w:tc>
      </w:tr>
      <w:tr>
        <w:trPr>
          <w:trHeight w:val="154"/>
        </w:trPr>
        <w:tc>
          <w:tcPr>
            <w:tcW w:w="1460" w:type="dxa"/>
            <w:vAlign w:val="bottom"/>
          </w:tcPr>
          <w:p>
            <w:pPr>
              <w:ind w:left="1000"/>
              <w:spacing w:after="0"/>
              <w:rPr>
                <w:sz w:val="20"/>
                <w:szCs w:val="20"/>
                <w:color w:val="auto"/>
              </w:rPr>
            </w:pPr>
            <w:r>
              <w:rPr>
                <w:rFonts w:ascii="Arial" w:cs="Arial" w:eastAsia="Arial" w:hAnsi="Arial"/>
                <w:sz w:val="10"/>
                <w:szCs w:val="10"/>
                <w:color w:val="auto"/>
              </w:rPr>
              <w:t>Brussels</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0"/>
                <w:szCs w:val="10"/>
                <w:color w:val="auto"/>
                <w:w w:val="94"/>
              </w:rPr>
              <w:t>Orange County</w:t>
            </w:r>
          </w:p>
        </w:tc>
      </w:tr>
      <w:tr>
        <w:trPr>
          <w:trHeight w:val="144"/>
        </w:trPr>
        <w:tc>
          <w:tcPr>
            <w:tcW w:w="1460" w:type="dxa"/>
            <w:vAlign w:val="bottom"/>
          </w:tcPr>
          <w:p>
            <w:pPr>
              <w:ind w:left="1000"/>
              <w:spacing w:after="0"/>
              <w:rPr>
                <w:sz w:val="20"/>
                <w:szCs w:val="20"/>
                <w:color w:val="auto"/>
              </w:rPr>
            </w:pPr>
            <w:r>
              <w:rPr>
                <w:rFonts w:ascii="Arial" w:cs="Arial" w:eastAsia="Arial" w:hAnsi="Arial"/>
                <w:sz w:val="10"/>
                <w:szCs w:val="10"/>
                <w:color w:val="auto"/>
              </w:rPr>
              <w:t>Chicago</w:t>
            </w:r>
          </w:p>
        </w:tc>
        <w:tc>
          <w:tcPr>
            <w:tcW w:w="60" w:type="dxa"/>
            <w:vAlign w:val="bottom"/>
          </w:tcPr>
          <w:p>
            <w:pPr>
              <w:spacing w:after="0"/>
              <w:rPr>
                <w:sz w:val="12"/>
                <w:szCs w:val="12"/>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Paris</w:t>
            </w:r>
          </w:p>
        </w:tc>
      </w:tr>
      <w:tr>
        <w:trPr>
          <w:trHeight w:val="154"/>
        </w:trPr>
        <w:tc>
          <w:tcPr>
            <w:tcW w:w="1460" w:type="dxa"/>
            <w:vAlign w:val="bottom"/>
          </w:tcPr>
          <w:p>
            <w:pPr>
              <w:ind w:left="1000"/>
              <w:spacing w:after="0"/>
              <w:rPr>
                <w:sz w:val="20"/>
                <w:szCs w:val="20"/>
                <w:color w:val="auto"/>
              </w:rPr>
            </w:pPr>
            <w:r>
              <w:rPr>
                <w:rFonts w:ascii="Arial" w:cs="Arial" w:eastAsia="Arial" w:hAnsi="Arial"/>
                <w:sz w:val="10"/>
                <w:szCs w:val="10"/>
                <w:color w:val="auto"/>
              </w:rPr>
              <w:t>Dubai</w:t>
            </w:r>
          </w:p>
        </w:tc>
        <w:tc>
          <w:tcPr>
            <w:tcW w:w="780" w:type="dxa"/>
            <w:vAlign w:val="bottom"/>
            <w:gridSpan w:val="2"/>
          </w:tcPr>
          <w:p>
            <w:pPr>
              <w:spacing w:after="0"/>
              <w:rPr>
                <w:sz w:val="20"/>
                <w:szCs w:val="20"/>
                <w:color w:val="auto"/>
              </w:rPr>
            </w:pPr>
            <w:r>
              <w:rPr>
                <w:rFonts w:ascii="Arial" w:cs="Arial" w:eastAsia="Arial" w:hAnsi="Arial"/>
                <w:sz w:val="10"/>
                <w:szCs w:val="10"/>
                <w:color w:val="auto"/>
              </w:rPr>
              <w:t>Riyadh</w:t>
            </w:r>
          </w:p>
        </w:tc>
      </w:tr>
      <w:tr>
        <w:trPr>
          <w:trHeight w:val="154"/>
        </w:trPr>
        <w:tc>
          <w:tcPr>
            <w:tcW w:w="1460" w:type="dxa"/>
            <w:vAlign w:val="bottom"/>
          </w:tcPr>
          <w:p>
            <w:pPr>
              <w:ind w:left="1000"/>
              <w:spacing w:after="0"/>
              <w:rPr>
                <w:sz w:val="20"/>
                <w:szCs w:val="20"/>
                <w:color w:val="auto"/>
              </w:rPr>
            </w:pPr>
            <w:r>
              <w:rPr>
                <w:rFonts w:ascii="Arial" w:cs="Arial" w:eastAsia="Arial" w:hAnsi="Arial"/>
                <w:sz w:val="10"/>
                <w:szCs w:val="10"/>
                <w:color w:val="auto"/>
                <w:w w:val="91"/>
              </w:rPr>
              <w:t>Düsseldorf</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0"/>
                <w:szCs w:val="10"/>
                <w:color w:val="auto"/>
                <w:w w:val="98"/>
              </w:rPr>
              <w:t>San Diego</w:t>
            </w:r>
          </w:p>
        </w:tc>
      </w:tr>
      <w:tr>
        <w:trPr>
          <w:trHeight w:val="144"/>
        </w:trPr>
        <w:tc>
          <w:tcPr>
            <w:tcW w:w="1460" w:type="dxa"/>
            <w:vAlign w:val="bottom"/>
          </w:tcPr>
          <w:p>
            <w:pPr>
              <w:ind w:left="1000"/>
              <w:spacing w:after="0"/>
              <w:rPr>
                <w:sz w:val="20"/>
                <w:szCs w:val="20"/>
                <w:color w:val="auto"/>
              </w:rPr>
            </w:pPr>
            <w:r>
              <w:rPr>
                <w:rFonts w:ascii="Arial" w:cs="Arial" w:eastAsia="Arial" w:hAnsi="Arial"/>
                <w:sz w:val="10"/>
                <w:szCs w:val="10"/>
                <w:color w:val="auto"/>
              </w:rPr>
              <w:t>Frankfurt</w:t>
            </w:r>
          </w:p>
        </w:tc>
        <w:tc>
          <w:tcPr>
            <w:tcW w:w="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0"/>
                <w:szCs w:val="10"/>
                <w:color w:val="auto"/>
                <w:w w:val="96"/>
              </w:rPr>
              <w:t>San Francisco</w:t>
            </w:r>
          </w:p>
        </w:tc>
      </w:tr>
      <w:tr>
        <w:trPr>
          <w:trHeight w:val="154"/>
        </w:trPr>
        <w:tc>
          <w:tcPr>
            <w:tcW w:w="1460" w:type="dxa"/>
            <w:vAlign w:val="bottom"/>
          </w:tcPr>
          <w:p>
            <w:pPr>
              <w:ind w:left="1000"/>
              <w:spacing w:after="0"/>
              <w:rPr>
                <w:sz w:val="20"/>
                <w:szCs w:val="20"/>
                <w:color w:val="auto"/>
              </w:rPr>
            </w:pPr>
            <w:r>
              <w:rPr>
                <w:rFonts w:ascii="Arial" w:cs="Arial" w:eastAsia="Arial" w:hAnsi="Arial"/>
                <w:sz w:val="10"/>
                <w:szCs w:val="10"/>
                <w:color w:val="auto"/>
              </w:rPr>
              <w:t>Hamburg</w:t>
            </w:r>
          </w:p>
        </w:tc>
        <w:tc>
          <w:tcPr>
            <w:tcW w:w="6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0"/>
                <w:szCs w:val="10"/>
                <w:color w:val="auto"/>
              </w:rPr>
              <w:t>Seoul</w:t>
            </w:r>
          </w:p>
        </w:tc>
      </w:tr>
      <w:tr>
        <w:trPr>
          <w:trHeight w:val="154"/>
        </w:trPr>
        <w:tc>
          <w:tcPr>
            <w:tcW w:w="1520" w:type="dxa"/>
            <w:vAlign w:val="bottom"/>
            <w:gridSpan w:val="2"/>
          </w:tcPr>
          <w:p>
            <w:pPr>
              <w:ind w:left="1000"/>
              <w:spacing w:after="0"/>
              <w:rPr>
                <w:sz w:val="20"/>
                <w:szCs w:val="20"/>
                <w:color w:val="auto"/>
              </w:rPr>
            </w:pPr>
            <w:r>
              <w:rPr>
                <w:rFonts w:ascii="Arial" w:cs="Arial" w:eastAsia="Arial" w:hAnsi="Arial"/>
                <w:sz w:val="10"/>
                <w:szCs w:val="10"/>
                <w:color w:val="auto"/>
                <w:w w:val="99"/>
              </w:rPr>
              <w:t>Hong Kong</w:t>
            </w:r>
          </w:p>
        </w:tc>
        <w:tc>
          <w:tcPr>
            <w:tcW w:w="720" w:type="dxa"/>
            <w:vAlign w:val="bottom"/>
          </w:tcPr>
          <w:p>
            <w:pPr>
              <w:ind w:left="160"/>
              <w:spacing w:after="0"/>
              <w:rPr>
                <w:sz w:val="20"/>
                <w:szCs w:val="20"/>
                <w:color w:val="auto"/>
              </w:rPr>
            </w:pPr>
            <w:r>
              <w:rPr>
                <w:rFonts w:ascii="Arial" w:cs="Arial" w:eastAsia="Arial" w:hAnsi="Arial"/>
                <w:sz w:val="10"/>
                <w:szCs w:val="10"/>
                <w:color w:val="auto"/>
                <w:w w:val="90"/>
              </w:rPr>
              <w:t>Silicon Valley</w:t>
            </w:r>
          </w:p>
        </w:tc>
      </w:tr>
      <w:tr>
        <w:trPr>
          <w:trHeight w:val="144"/>
        </w:trPr>
        <w:tc>
          <w:tcPr>
            <w:tcW w:w="1460" w:type="dxa"/>
            <w:vAlign w:val="bottom"/>
          </w:tcPr>
          <w:p>
            <w:pPr>
              <w:ind w:left="1000"/>
              <w:spacing w:after="0"/>
              <w:rPr>
                <w:sz w:val="20"/>
                <w:szCs w:val="20"/>
                <w:color w:val="auto"/>
              </w:rPr>
            </w:pPr>
            <w:r>
              <w:rPr>
                <w:rFonts w:ascii="Arial" w:cs="Arial" w:eastAsia="Arial" w:hAnsi="Arial"/>
                <w:sz w:val="10"/>
                <w:szCs w:val="10"/>
                <w:color w:val="auto"/>
              </w:rPr>
              <w:t>Houston</w:t>
            </w:r>
          </w:p>
        </w:tc>
        <w:tc>
          <w:tcPr>
            <w:tcW w:w="60" w:type="dxa"/>
            <w:vAlign w:val="bottom"/>
          </w:tcPr>
          <w:p>
            <w:pPr>
              <w:spacing w:after="0"/>
              <w:rPr>
                <w:sz w:val="12"/>
                <w:szCs w:val="12"/>
                <w:color w:val="auto"/>
              </w:rPr>
            </w:pPr>
          </w:p>
        </w:tc>
        <w:tc>
          <w:tcPr>
            <w:tcW w:w="720" w:type="dxa"/>
            <w:vAlign w:val="bottom"/>
          </w:tcPr>
          <w:p>
            <w:pPr>
              <w:ind w:left="40"/>
              <w:spacing w:after="0"/>
              <w:rPr>
                <w:sz w:val="20"/>
                <w:szCs w:val="20"/>
                <w:color w:val="auto"/>
              </w:rPr>
            </w:pPr>
            <w:r>
              <w:rPr>
                <w:rFonts w:ascii="Arial" w:cs="Arial" w:eastAsia="Arial" w:hAnsi="Arial"/>
                <w:sz w:val="10"/>
                <w:szCs w:val="10"/>
                <w:color w:val="auto"/>
              </w:rPr>
              <w:t>Singapore</w:t>
            </w:r>
          </w:p>
        </w:tc>
      </w:tr>
      <w:tr>
        <w:trPr>
          <w:trHeight w:val="154"/>
        </w:trPr>
        <w:tc>
          <w:tcPr>
            <w:tcW w:w="1460" w:type="dxa"/>
            <w:vAlign w:val="bottom"/>
          </w:tcPr>
          <w:p>
            <w:pPr>
              <w:ind w:left="1000"/>
              <w:spacing w:after="0"/>
              <w:rPr>
                <w:sz w:val="20"/>
                <w:szCs w:val="20"/>
                <w:color w:val="auto"/>
              </w:rPr>
            </w:pPr>
            <w:r>
              <w:rPr>
                <w:rFonts w:ascii="Arial" w:cs="Arial" w:eastAsia="Arial" w:hAnsi="Arial"/>
                <w:sz w:val="10"/>
                <w:szCs w:val="10"/>
                <w:color w:val="auto"/>
              </w:rPr>
              <w:t>London</w:t>
            </w:r>
          </w:p>
        </w:tc>
        <w:tc>
          <w:tcPr>
            <w:tcW w:w="6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0"/>
                <w:szCs w:val="10"/>
                <w:color w:val="auto"/>
              </w:rPr>
              <w:t>Tel Aviv</w:t>
            </w:r>
          </w:p>
        </w:tc>
      </w:tr>
      <w:tr>
        <w:trPr>
          <w:trHeight w:val="154"/>
        </w:trPr>
        <w:tc>
          <w:tcPr>
            <w:tcW w:w="1520" w:type="dxa"/>
            <w:vAlign w:val="bottom"/>
            <w:gridSpan w:val="2"/>
          </w:tcPr>
          <w:p>
            <w:pPr>
              <w:ind w:left="1000"/>
              <w:spacing w:after="0"/>
              <w:rPr>
                <w:sz w:val="20"/>
                <w:szCs w:val="20"/>
                <w:color w:val="auto"/>
              </w:rPr>
            </w:pPr>
            <w:r>
              <w:rPr>
                <w:rFonts w:ascii="Arial" w:cs="Arial" w:eastAsia="Arial" w:hAnsi="Arial"/>
                <w:sz w:val="10"/>
                <w:szCs w:val="10"/>
                <w:color w:val="auto"/>
                <w:w w:val="90"/>
              </w:rPr>
              <w:t>Los Angeles</w:t>
            </w:r>
          </w:p>
        </w:tc>
        <w:tc>
          <w:tcPr>
            <w:tcW w:w="720" w:type="dxa"/>
            <w:vAlign w:val="bottom"/>
          </w:tcPr>
          <w:p>
            <w:pPr>
              <w:ind w:left="100"/>
              <w:spacing w:after="0"/>
              <w:rPr>
                <w:sz w:val="20"/>
                <w:szCs w:val="20"/>
                <w:color w:val="auto"/>
              </w:rPr>
            </w:pPr>
            <w:r>
              <w:rPr>
                <w:rFonts w:ascii="Arial" w:cs="Arial" w:eastAsia="Arial" w:hAnsi="Arial"/>
                <w:sz w:val="10"/>
                <w:szCs w:val="10"/>
                <w:color w:val="auto"/>
              </w:rPr>
              <w:t>Tokyo</w:t>
            </w:r>
          </w:p>
        </w:tc>
      </w:tr>
      <w:tr>
        <w:trPr>
          <w:trHeight w:val="144"/>
        </w:trPr>
        <w:tc>
          <w:tcPr>
            <w:tcW w:w="1460" w:type="dxa"/>
            <w:vAlign w:val="bottom"/>
          </w:tcPr>
          <w:p>
            <w:pPr>
              <w:ind w:left="1000"/>
              <w:spacing w:after="0"/>
              <w:rPr>
                <w:sz w:val="20"/>
                <w:szCs w:val="20"/>
                <w:color w:val="auto"/>
              </w:rPr>
            </w:pPr>
            <w:r>
              <w:rPr>
                <w:rFonts w:ascii="Arial" w:cs="Arial" w:eastAsia="Arial" w:hAnsi="Arial"/>
                <w:sz w:val="10"/>
                <w:szCs w:val="10"/>
                <w:color w:val="auto"/>
              </w:rPr>
              <w:t>Madrid</w:t>
            </w:r>
          </w:p>
        </w:tc>
        <w:tc>
          <w:tcPr>
            <w:tcW w:w="780" w:type="dxa"/>
            <w:vAlign w:val="bottom"/>
            <w:gridSpan w:val="2"/>
          </w:tcPr>
          <w:p>
            <w:pPr>
              <w:ind w:left="40"/>
              <w:spacing w:after="0"/>
              <w:rPr>
                <w:sz w:val="20"/>
                <w:szCs w:val="20"/>
                <w:color w:val="auto"/>
              </w:rPr>
            </w:pPr>
            <w:r>
              <w:rPr>
                <w:rFonts w:ascii="Arial" w:cs="Arial" w:eastAsia="Arial" w:hAnsi="Arial"/>
                <w:sz w:val="10"/>
                <w:szCs w:val="10"/>
                <w:color w:val="auto"/>
                <w:w w:val="91"/>
              </w:rPr>
              <w:t>Washington, D.C.</w:t>
            </w: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July 1, 2026</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Crescent Biopharma,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330 Fifth Avenue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Waltham, MA 02451</w:t>
      </w:r>
    </w:p>
    <w:p>
      <w:pPr>
        <w:spacing w:after="0" w:line="15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6"/>
          <w:szCs w:val="16"/>
          <w:color w:val="auto"/>
        </w:rPr>
        <w:t>Re:</w:t>
      </w:r>
      <w:r>
        <w:rPr>
          <w:sz w:val="20"/>
          <w:szCs w:val="20"/>
          <w:color w:val="auto"/>
        </w:rPr>
        <w:tab/>
      </w:r>
      <w:r>
        <w:rPr>
          <w:rFonts w:ascii="Times New Roman" w:cs="Times New Roman" w:eastAsia="Times New Roman" w:hAnsi="Times New Roman"/>
          <w:sz w:val="16"/>
          <w:szCs w:val="16"/>
          <w:u w:val="single" w:color="auto"/>
          <w:color w:val="auto"/>
        </w:rPr>
        <w:t>Registration Statement on Form S-3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addressee set forth above:</w:t>
      </w:r>
    </w:p>
    <w:p>
      <w:pPr>
        <w:spacing w:after="0" w:line="171" w:lineRule="exact"/>
        <w:rPr>
          <w:sz w:val="20"/>
          <w:szCs w:val="20"/>
          <w:color w:val="auto"/>
        </w:rPr>
      </w:pPr>
    </w:p>
    <w:p>
      <w:pPr>
        <w:jc w:val="both"/>
        <w:ind w:firstLine="492"/>
        <w:spacing w:after="0" w:line="260" w:lineRule="auto"/>
        <w:rPr>
          <w:sz w:val="20"/>
          <w:szCs w:val="20"/>
          <w:color w:val="auto"/>
        </w:rPr>
      </w:pPr>
      <w:r>
        <w:rPr>
          <w:rFonts w:ascii="Times New Roman" w:cs="Times New Roman" w:eastAsia="Times New Roman" w:hAnsi="Times New Roman"/>
          <w:sz w:val="16"/>
          <w:szCs w:val="16"/>
          <w:color w:val="auto"/>
        </w:rPr>
        <w:t>We have acted as special counsel to Crescent Biopharma, Inc., a Cayman Islands exempted company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in connection with its filing on the date hereof with the Securities and Exchange Commission (the “</w:t>
      </w:r>
      <w:r>
        <w:rPr>
          <w:rFonts w:ascii="Times New Roman" w:cs="Times New Roman" w:eastAsia="Times New Roman" w:hAnsi="Times New Roman"/>
          <w:sz w:val="16"/>
          <w:szCs w:val="16"/>
          <w:b w:val="1"/>
          <w:bCs w:val="1"/>
          <w:i w:val="1"/>
          <w:iCs w:val="1"/>
          <w:color w:val="auto"/>
        </w:rPr>
        <w:t>Commission</w:t>
      </w:r>
      <w:r>
        <w:rPr>
          <w:rFonts w:ascii="Times New Roman" w:cs="Times New Roman" w:eastAsia="Times New Roman" w:hAnsi="Times New Roman"/>
          <w:sz w:val="16"/>
          <w:szCs w:val="16"/>
          <w:color w:val="auto"/>
        </w:rPr>
        <w:t>”) of a registration statement on Form S-3 (the “</w:t>
      </w:r>
      <w:r>
        <w:rPr>
          <w:rFonts w:ascii="Times New Roman" w:cs="Times New Roman" w:eastAsia="Times New Roman" w:hAnsi="Times New Roman"/>
          <w:sz w:val="16"/>
          <w:szCs w:val="16"/>
          <w:b w:val="1"/>
          <w:bCs w:val="1"/>
          <w:i w:val="1"/>
          <w:iCs w:val="1"/>
          <w:color w:val="auto"/>
        </w:rPr>
        <w:t>Registration Statement</w:t>
      </w:r>
      <w:r>
        <w:rPr>
          <w:rFonts w:ascii="Times New Roman" w:cs="Times New Roman" w:eastAsia="Times New Roman" w:hAnsi="Times New Roman"/>
          <w:sz w:val="16"/>
          <w:szCs w:val="16"/>
          <w:color w:val="auto"/>
        </w:rPr>
        <w:t>”), including a base prospectus (the “</w:t>
      </w:r>
      <w:r>
        <w:rPr>
          <w:rFonts w:ascii="Times New Roman" w:cs="Times New Roman" w:eastAsia="Times New Roman" w:hAnsi="Times New Roman"/>
          <w:sz w:val="16"/>
          <w:szCs w:val="16"/>
          <w:b w:val="1"/>
          <w:bCs w:val="1"/>
          <w:i w:val="1"/>
          <w:iCs w:val="1"/>
          <w:color w:val="auto"/>
        </w:rPr>
        <w:t>Base Prospectus</w:t>
      </w:r>
      <w:r>
        <w:rPr>
          <w:rFonts w:ascii="Times New Roman" w:cs="Times New Roman" w:eastAsia="Times New Roman" w:hAnsi="Times New Roman"/>
          <w:sz w:val="16"/>
          <w:szCs w:val="16"/>
          <w:color w:val="auto"/>
        </w:rPr>
        <w:t>”), which provides that it will be supplemented by one or more prospectus supplements (each such prospectus supplement, together with the Base Prospectus, a “</w:t>
      </w:r>
      <w:r>
        <w:rPr>
          <w:rFonts w:ascii="Times New Roman" w:cs="Times New Roman" w:eastAsia="Times New Roman" w:hAnsi="Times New Roman"/>
          <w:sz w:val="16"/>
          <w:szCs w:val="16"/>
          <w:b w:val="1"/>
          <w:bCs w:val="1"/>
          <w:i w:val="1"/>
          <w:iCs w:val="1"/>
          <w:color w:val="auto"/>
        </w:rPr>
        <w:t>Prospectus</w:t>
      </w:r>
      <w:r>
        <w:rPr>
          <w:rFonts w:ascii="Times New Roman" w:cs="Times New Roman" w:eastAsia="Times New Roman" w:hAnsi="Times New Roman"/>
          <w:sz w:val="16"/>
          <w:szCs w:val="16"/>
          <w:color w:val="auto"/>
        </w:rPr>
        <w:t>”), under the Securities Act of 1933, as amended (the “</w:t>
      </w:r>
      <w:r>
        <w:rPr>
          <w:rFonts w:ascii="Times New Roman" w:cs="Times New Roman" w:eastAsia="Times New Roman" w:hAnsi="Times New Roman"/>
          <w:sz w:val="16"/>
          <w:szCs w:val="16"/>
          <w:b w:val="1"/>
          <w:bCs w:val="1"/>
          <w:i w:val="1"/>
          <w:iCs w:val="1"/>
          <w:color w:val="auto"/>
        </w:rPr>
        <w:t>Act</w:t>
      </w:r>
      <w:r>
        <w:rPr>
          <w:rFonts w:ascii="Times New Roman" w:cs="Times New Roman" w:eastAsia="Times New Roman" w:hAnsi="Times New Roman"/>
          <w:sz w:val="16"/>
          <w:szCs w:val="16"/>
          <w:color w:val="auto"/>
        </w:rPr>
        <w:t>”), relating to the registration for issue and sale by the Company of up to $500,000,000 aggregate offering amount of (i) the Company’s ordinary shares, par value US$0.001 per share (“</w:t>
      </w:r>
      <w:r>
        <w:rPr>
          <w:rFonts w:ascii="Times New Roman" w:cs="Times New Roman" w:eastAsia="Times New Roman" w:hAnsi="Times New Roman"/>
          <w:sz w:val="16"/>
          <w:szCs w:val="16"/>
          <w:b w:val="1"/>
          <w:bCs w:val="1"/>
          <w:i w:val="1"/>
          <w:iCs w:val="1"/>
          <w:color w:val="auto"/>
        </w:rPr>
        <w:t>Ordinary Shares</w:t>
      </w:r>
      <w:r>
        <w:rPr>
          <w:rFonts w:ascii="Times New Roman" w:cs="Times New Roman" w:eastAsia="Times New Roman" w:hAnsi="Times New Roman"/>
          <w:sz w:val="16"/>
          <w:szCs w:val="16"/>
          <w:color w:val="auto"/>
        </w:rPr>
        <w:t>”), (ii) shares of one or more series of the Company’s preferred shares, par value US$0.001 per share (“</w:t>
      </w:r>
      <w:r>
        <w:rPr>
          <w:rFonts w:ascii="Times New Roman" w:cs="Times New Roman" w:eastAsia="Times New Roman" w:hAnsi="Times New Roman"/>
          <w:sz w:val="16"/>
          <w:szCs w:val="16"/>
          <w:b w:val="1"/>
          <w:bCs w:val="1"/>
          <w:i w:val="1"/>
          <w:iCs w:val="1"/>
          <w:color w:val="auto"/>
        </w:rPr>
        <w:t>Preferred Shares</w:t>
      </w:r>
      <w:r>
        <w:rPr>
          <w:rFonts w:ascii="Times New Roman" w:cs="Times New Roman" w:eastAsia="Times New Roman" w:hAnsi="Times New Roman"/>
          <w:sz w:val="16"/>
          <w:szCs w:val="16"/>
          <w:color w:val="auto"/>
        </w:rPr>
        <w:t>”), (iii) one or more series of the Company’s debt securities (collectively, “</w:t>
      </w:r>
      <w:r>
        <w:rPr>
          <w:rFonts w:ascii="Times New Roman" w:cs="Times New Roman" w:eastAsia="Times New Roman" w:hAnsi="Times New Roman"/>
          <w:sz w:val="16"/>
          <w:szCs w:val="16"/>
          <w:b w:val="1"/>
          <w:bCs w:val="1"/>
          <w:i w:val="1"/>
          <w:iCs w:val="1"/>
          <w:color w:val="auto"/>
        </w:rPr>
        <w:t>Debt Securities</w:t>
      </w:r>
      <w:r>
        <w:rPr>
          <w:rFonts w:ascii="Times New Roman" w:cs="Times New Roman" w:eastAsia="Times New Roman" w:hAnsi="Times New Roman"/>
          <w:sz w:val="16"/>
          <w:szCs w:val="16"/>
          <w:color w:val="auto"/>
        </w:rPr>
        <w:t>”) to be issued under an indenture to be entered into between the Company, as issuer, and a trustee (a form of which is included as Exhibit 4.6 to the Registration Statement) and one or more board resolutions, supplements thereto or officer’s certificates thereunder (such indenture, together with the applicable board resolution, supplement or officer’s certificate pertaining to the applicable series of Debt Securities, the “</w:t>
      </w:r>
      <w:r>
        <w:rPr>
          <w:rFonts w:ascii="Times New Roman" w:cs="Times New Roman" w:eastAsia="Times New Roman" w:hAnsi="Times New Roman"/>
          <w:sz w:val="16"/>
          <w:szCs w:val="16"/>
          <w:b w:val="1"/>
          <w:bCs w:val="1"/>
          <w:i w:val="1"/>
          <w:iCs w:val="1"/>
          <w:color w:val="auto"/>
        </w:rPr>
        <w:t>Applicable Indenture</w:t>
      </w:r>
      <w:r>
        <w:rPr>
          <w:rFonts w:ascii="Times New Roman" w:cs="Times New Roman" w:eastAsia="Times New Roman" w:hAnsi="Times New Roman"/>
          <w:sz w:val="16"/>
          <w:szCs w:val="16"/>
          <w:color w:val="auto"/>
        </w:rPr>
        <w:t>”), (iv) warrants to purchase Ordinary Shares, Preferred Shares or Debt Securities (“</w:t>
      </w:r>
      <w:r>
        <w:rPr>
          <w:rFonts w:ascii="Times New Roman" w:cs="Times New Roman" w:eastAsia="Times New Roman" w:hAnsi="Times New Roman"/>
          <w:sz w:val="16"/>
          <w:szCs w:val="16"/>
          <w:b w:val="1"/>
          <w:bCs w:val="1"/>
          <w:i w:val="1"/>
          <w:iCs w:val="1"/>
          <w:color w:val="auto"/>
        </w:rPr>
        <w:t>Warrants</w:t>
      </w:r>
      <w:r>
        <w:rPr>
          <w:rFonts w:ascii="Times New Roman" w:cs="Times New Roman" w:eastAsia="Times New Roman" w:hAnsi="Times New Roman"/>
          <w:sz w:val="16"/>
          <w:szCs w:val="16"/>
          <w:color w:val="auto"/>
        </w:rPr>
        <w:t>”) and (v) units consisting of two or more of the Securities (as defined below) (“</w:t>
      </w:r>
      <w:r>
        <w:rPr>
          <w:rFonts w:ascii="Times New Roman" w:cs="Times New Roman" w:eastAsia="Times New Roman" w:hAnsi="Times New Roman"/>
          <w:sz w:val="16"/>
          <w:szCs w:val="16"/>
          <w:b w:val="1"/>
          <w:bCs w:val="1"/>
          <w:i w:val="1"/>
          <w:iCs w:val="1"/>
          <w:color w:val="auto"/>
        </w:rPr>
        <w:t>Units</w:t>
      </w:r>
      <w:r>
        <w:rPr>
          <w:rFonts w:ascii="Times New Roman" w:cs="Times New Roman" w:eastAsia="Times New Roman" w:hAnsi="Times New Roman"/>
          <w:sz w:val="16"/>
          <w:szCs w:val="16"/>
          <w:color w:val="auto"/>
        </w:rPr>
        <w:t>”). The Debt Securities, Warrants and Units, plus any additional Debt Securities, Warrants and Units that may be registered pursuant to any subsequent registration statement that the Company may hereafter file with the Commission pursuant to Rule 462(b) under the Act in connection with the offering by the Company contemplated by the Registration Statement, are referred to herein collectively as the “</w:t>
      </w:r>
      <w:r>
        <w:rPr>
          <w:rFonts w:ascii="Times New Roman" w:cs="Times New Roman" w:eastAsia="Times New Roman" w:hAnsi="Times New Roman"/>
          <w:sz w:val="16"/>
          <w:szCs w:val="16"/>
          <w:b w:val="1"/>
          <w:bCs w:val="1"/>
          <w:i w:val="1"/>
          <w:iCs w:val="1"/>
          <w:color w:val="auto"/>
        </w:rPr>
        <w:t>Securities</w:t>
      </w:r>
      <w:r>
        <w:rPr>
          <w:rFonts w:ascii="Times New Roman" w:cs="Times New Roman" w:eastAsia="Times New Roman" w:hAnsi="Times New Roman"/>
          <w:sz w:val="16"/>
          <w:szCs w:val="16"/>
          <w:color w:val="auto"/>
        </w:rPr>
        <w:t>.”</w:t>
      </w:r>
    </w:p>
    <w:p>
      <w:pPr>
        <w:spacing w:after="0" w:line="331" w:lineRule="exact"/>
        <w:rPr>
          <w:sz w:val="20"/>
          <w:szCs w:val="20"/>
          <w:color w:val="auto"/>
        </w:rPr>
      </w:pPr>
    </w:p>
    <w:p>
      <w:pPr>
        <w:jc w:val="both"/>
        <w:ind w:firstLine="492"/>
        <w:spacing w:after="0" w:line="294" w:lineRule="auto"/>
        <w:rPr>
          <w:sz w:val="20"/>
          <w:szCs w:val="20"/>
          <w:color w:val="auto"/>
        </w:rPr>
      </w:pPr>
      <w:r>
        <w:rPr>
          <w:rFonts w:ascii="Times New Roman" w:cs="Times New Roman" w:eastAsia="Times New Roman" w:hAnsi="Times New Roman"/>
          <w:sz w:val="16"/>
          <w:szCs w:val="16"/>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Securities.</w:t>
      </w:r>
    </w:p>
    <w:p>
      <w:pPr>
        <w:spacing w:after="0" w:line="308" w:lineRule="exact"/>
        <w:rPr>
          <w:sz w:val="20"/>
          <w:szCs w:val="20"/>
          <w:color w:val="auto"/>
        </w:rPr>
      </w:pPr>
    </w:p>
    <w:p>
      <w:pPr>
        <w:jc w:val="both"/>
        <w:ind w:firstLine="492"/>
        <w:spacing w:after="0" w:line="293" w:lineRule="auto"/>
        <w:rPr>
          <w:sz w:val="20"/>
          <w:szCs w:val="20"/>
          <w:color w:val="auto"/>
        </w:rPr>
      </w:pPr>
      <w:r>
        <w:rPr>
          <w:rFonts w:ascii="Times New Roman" w:cs="Times New Roman" w:eastAsia="Times New Roman" w:hAnsi="Times New Roman"/>
          <w:sz w:val="16"/>
          <w:szCs w:val="16"/>
          <w:color w:val="auto"/>
        </w:rPr>
        <w:t>As such counsel, we have examined such matters of fact and questions of law as we have considered appropriate for purposes of this letter. With your consent, we have relied upon</w:t>
      </w:r>
    </w:p>
    <w:p>
      <w:pPr>
        <w:sectPr>
          <w:pgSz w:w="11900" w:h="16838" w:orient="portrait"/>
          <w:cols w:equalWidth="0" w:num="1">
            <w:col w:w="11280"/>
          </w:cols>
          <w:pgMar w:left="300" w:top="116" w:right="319" w:bottom="1440" w:gutter="0" w:footer="0" w:header="0"/>
        </w:sectPr>
      </w:pPr>
    </w:p>
    <w:bookmarkStart w:id="160" w:name="page161"/>
    <w:bookmarkEnd w:id="160"/>
    <w:p>
      <w:pPr>
        <w:ind w:left="20"/>
        <w:spacing w:after="0"/>
        <w:rPr>
          <w:sz w:val="20"/>
          <w:szCs w:val="20"/>
          <w:color w:val="auto"/>
        </w:rPr>
      </w:pPr>
      <w:r>
        <w:rPr>
          <w:rFonts w:ascii="Arial" w:cs="Arial" w:eastAsia="Arial" w:hAnsi="Arial"/>
          <w:sz w:val="10"/>
          <w:szCs w:val="10"/>
          <w:b w:val="1"/>
          <w:bCs w:val="1"/>
          <w:color w:val="auto"/>
        </w:rPr>
        <w:t>July 1, 2026</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99060</wp:posOffset>
            </wp:positionV>
            <wp:extent cx="1055370" cy="65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1055370" cy="6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certificates and other assurances of officers of the Company and others as to factual matters without having independently verified such factual matters. We are opining herein as to the internal laws of the State of New York and we express no opinion with respect to the applicability thereto, or the effect thereon, of the laws of any other jurisdiction or as to any matters of municipal law or the laws of any local agencies within any state. Various matters concerning the laws of the Cayman Islands are addressed in the opinion of Walkers (Cayman) LLP, which has been separately provided to you. We express no opinion with respect to those matters herein and, to the extent such matters are necessary to the conclusions expressed herein, we have, with your consent, assumed such matters.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Subject to the foregoing and the other matters set forth herein, it is our opinion that, as of the date hereof:</w:t>
      </w:r>
    </w:p>
    <w:p>
      <w:pPr>
        <w:spacing w:after="0" w:line="175" w:lineRule="exact"/>
        <w:rPr>
          <w:sz w:val="20"/>
          <w:szCs w:val="20"/>
          <w:color w:val="auto"/>
        </w:rPr>
      </w:pPr>
    </w:p>
    <w:p>
      <w:pPr>
        <w:jc w:val="both"/>
        <w:ind w:left="980" w:hanging="486"/>
        <w:spacing w:after="0" w:line="267" w:lineRule="auto"/>
        <w:tabs>
          <w:tab w:leader="none" w:pos="9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Applicable Indenture has been duly authorized, executed and delivered by all necessary corporate action of the Company, and when the specific terms of a particular series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w:t>
      </w:r>
    </w:p>
    <w:p>
      <w:pPr>
        <w:spacing w:after="0" w:line="125" w:lineRule="exact"/>
        <w:rPr>
          <w:rFonts w:ascii="Times New Roman" w:cs="Times New Roman" w:eastAsia="Times New Roman" w:hAnsi="Times New Roman"/>
          <w:sz w:val="16"/>
          <w:szCs w:val="16"/>
          <w:color w:val="auto"/>
        </w:rPr>
      </w:pPr>
    </w:p>
    <w:p>
      <w:pPr>
        <w:jc w:val="both"/>
        <w:ind w:left="980" w:hanging="486"/>
        <w:spacing w:after="0" w:line="263" w:lineRule="auto"/>
        <w:tabs>
          <w:tab w:leader="none" w:pos="9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spacing w:after="0" w:line="329" w:lineRule="exact"/>
        <w:rPr>
          <w:rFonts w:ascii="Times New Roman" w:cs="Times New Roman" w:eastAsia="Times New Roman" w:hAnsi="Times New Roman"/>
          <w:sz w:val="16"/>
          <w:szCs w:val="16"/>
          <w:color w:val="auto"/>
        </w:rPr>
      </w:pPr>
    </w:p>
    <w:p>
      <w:pPr>
        <w:jc w:val="both"/>
        <w:ind w:left="980" w:hanging="486"/>
        <w:spacing w:after="0" w:line="275" w:lineRule="auto"/>
        <w:tabs>
          <w:tab w:leader="none" w:pos="9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and such Units have been duly executed, authenticated, issued and delivered against payment therefor in accordance with</w:t>
      </w:r>
    </w:p>
    <w:p>
      <w:pPr>
        <w:sectPr>
          <w:pgSz w:w="11900" w:h="16838" w:orient="portrait"/>
          <w:cols w:equalWidth="0" w:num="1">
            <w:col w:w="11280"/>
          </w:cols>
          <w:pgMar w:left="300" w:top="166" w:right="319" w:bottom="1440" w:gutter="0" w:footer="0" w:header="0"/>
        </w:sectPr>
      </w:pPr>
    </w:p>
    <w:bookmarkStart w:id="161" w:name="page162"/>
    <w:bookmarkEnd w:id="161"/>
    <w:p>
      <w:pPr>
        <w:ind w:left="20"/>
        <w:spacing w:after="0"/>
        <w:rPr>
          <w:sz w:val="20"/>
          <w:szCs w:val="20"/>
          <w:color w:val="auto"/>
        </w:rPr>
      </w:pPr>
      <w:r>
        <w:rPr>
          <w:rFonts w:ascii="Arial" w:cs="Arial" w:eastAsia="Arial" w:hAnsi="Arial"/>
          <w:sz w:val="10"/>
          <w:szCs w:val="10"/>
          <w:b w:val="1"/>
          <w:bCs w:val="1"/>
          <w:color w:val="auto"/>
        </w:rPr>
        <w:t>July 1, 2026</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99060</wp:posOffset>
            </wp:positionV>
            <wp:extent cx="1055370" cy="654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1055370" cy="6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980"/>
        <w:spacing w:after="0" w:line="273" w:lineRule="auto"/>
        <w:rPr>
          <w:sz w:val="20"/>
          <w:szCs w:val="20"/>
          <w:color w:val="auto"/>
        </w:rPr>
      </w:pPr>
      <w:r>
        <w:rPr>
          <w:rFonts w:ascii="Times New Roman" w:cs="Times New Roman" w:eastAsia="Times New Roman" w:hAnsi="Times New Roman"/>
          <w:sz w:val="16"/>
          <w:szCs w:val="16"/>
          <w:color w:val="auto"/>
        </w:rPr>
        <w:t>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the legally valid and binding obligations of the Company, enforceable against the Company in accordance with their terms.</w:t>
      </w:r>
    </w:p>
    <w:p>
      <w:pPr>
        <w:spacing w:after="0" w:line="131"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6"/>
          <w:szCs w:val="16"/>
          <w:color w:val="auto"/>
        </w:rPr>
        <w:t>Our opinions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pacing w:after="0" w:line="141" w:lineRule="exact"/>
        <w:rPr>
          <w:sz w:val="20"/>
          <w:szCs w:val="20"/>
          <w:color w:val="auto"/>
        </w:rPr>
      </w:pPr>
    </w:p>
    <w:p>
      <w:pPr>
        <w:jc w:val="both"/>
        <w:ind w:firstLine="492"/>
        <w:spacing w:after="0" w:line="267" w:lineRule="auto"/>
        <w:rPr>
          <w:sz w:val="20"/>
          <w:szCs w:val="20"/>
          <w:color w:val="auto"/>
        </w:rPr>
      </w:pPr>
      <w:r>
        <w:rPr>
          <w:rFonts w:ascii="Times New Roman" w:cs="Times New Roman" w:eastAsia="Times New Roman" w:hAnsi="Times New Roman"/>
          <w:sz w:val="16"/>
          <w:szCs w:val="16"/>
          <w:color w:val="auto"/>
        </w:rPr>
        <w:t>With your consent, we have assumed that (a) each of the Debt Securities, Warrants and Units and the Applicable Indenture, warrant agreements and unit agreements governing such Securities (collectively, the “</w:t>
      </w:r>
      <w:r>
        <w:rPr>
          <w:rFonts w:ascii="Times New Roman" w:cs="Times New Roman" w:eastAsia="Times New Roman" w:hAnsi="Times New Roman"/>
          <w:sz w:val="16"/>
          <w:szCs w:val="16"/>
          <w:b w:val="1"/>
          <w:bCs w:val="1"/>
          <w:i w:val="1"/>
          <w:iCs w:val="1"/>
          <w:color w:val="auto"/>
        </w:rPr>
        <w:t>Documents</w:t>
      </w:r>
      <w:r>
        <w:rPr>
          <w:rFonts w:ascii="Times New Roman" w:cs="Times New Roman" w:eastAsia="Times New Roman" w:hAnsi="Times New Roman"/>
          <w:sz w:val="16"/>
          <w:szCs w:val="16"/>
          <w:color w:val="auto"/>
        </w:rPr>
        <w:t>”) will be governed by the internal laws of the State of New York, (b) each of the Documents has been or will be duly authorized, executed and delivered by the parties thereto, (c) each of the Documents constitutes or will constitute legally valid and binding obligations of the parties thereto other than the Company, enforceable against each of them in accordance with their respective terms, and (d) the status of each of the Documents as legally valid and binding obligations of the parties will not be affected by any (i)</w:t>
      </w:r>
    </w:p>
    <w:p>
      <w:pPr>
        <w:sectPr>
          <w:pgSz w:w="11900" w:h="16838" w:orient="portrait"/>
          <w:cols w:equalWidth="0" w:num="1">
            <w:col w:w="11280"/>
          </w:cols>
          <w:pgMar w:left="300" w:top="166" w:right="319" w:bottom="1440" w:gutter="0" w:footer="0" w:header="0"/>
        </w:sectPr>
      </w:pPr>
    </w:p>
    <w:bookmarkStart w:id="162" w:name="page163"/>
    <w:bookmarkEnd w:id="162"/>
    <w:p>
      <w:pPr>
        <w:ind w:left="20"/>
        <w:spacing w:after="0"/>
        <w:rPr>
          <w:sz w:val="20"/>
          <w:szCs w:val="20"/>
          <w:color w:val="auto"/>
        </w:rPr>
      </w:pPr>
      <w:r>
        <w:rPr>
          <w:rFonts w:ascii="Arial" w:cs="Arial" w:eastAsia="Arial" w:hAnsi="Arial"/>
          <w:sz w:val="10"/>
          <w:szCs w:val="10"/>
          <w:b w:val="1"/>
          <w:bCs w:val="1"/>
          <w:color w:val="auto"/>
        </w:rPr>
        <w:t>July 1, 2026</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99060</wp:posOffset>
            </wp:positionV>
            <wp:extent cx="1055370" cy="654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1055370" cy="6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105" w:lineRule="exact"/>
        <w:rPr>
          <w:sz w:val="20"/>
          <w:szCs w:val="20"/>
          <w:color w:val="auto"/>
        </w:rPr>
      </w:pPr>
    </w:p>
    <w:p>
      <w:pPr>
        <w:jc w:val="both"/>
        <w:ind w:firstLine="492"/>
        <w:spacing w:after="0" w:line="267" w:lineRule="auto"/>
        <w:rPr>
          <w:sz w:val="20"/>
          <w:szCs w:val="20"/>
          <w:color w:val="auto"/>
        </w:rPr>
      </w:pPr>
      <w:r>
        <w:rPr>
          <w:rFonts w:ascii="Times New Roman" w:cs="Times New Roman" w:eastAsia="Times New Roman" w:hAnsi="Times New Roman"/>
          <w:sz w:val="16"/>
          <w:szCs w:val="16"/>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We further consent to the incorporation by reference of this letter and consent into any registration statement or post-effective amendment to the Registration Statement filed pursuant to Rule 462(b) under the Act with respect to the Securities. In giving such consent, we do not thereby admit that we are in the category of persons whose consent is required under Section 7 of the Act or the rules and regulations of the Commission thereunder.</w:t>
      </w:r>
    </w:p>
    <w:p>
      <w:pPr>
        <w:spacing w:after="0" w:line="12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6"/>
          <w:szCs w:val="16"/>
          <w:color w:val="auto"/>
        </w:rPr>
        <w:t>Sincerely,</w:t>
      </w:r>
    </w:p>
    <w:p>
      <w:pPr>
        <w:spacing w:after="0" w:line="20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6"/>
          <w:szCs w:val="16"/>
          <w:color w:val="auto"/>
        </w:rPr>
        <w:t>/s/ Latham &amp; Watkins LLP</w:t>
      </w:r>
    </w:p>
    <w:p>
      <w:pPr>
        <w:sectPr>
          <w:pgSz w:w="11900" w:h="16838" w:orient="portrait"/>
          <w:cols w:equalWidth="0" w:num="1">
            <w:col w:w="11280"/>
          </w:cols>
          <w:pgMar w:left="300" w:top="166" w:right="319" w:bottom="1440" w:gutter="0" w:footer="0" w:header="0"/>
        </w:sectPr>
      </w:pPr>
    </w:p>
    <w:bookmarkStart w:id="163" w:name="page164"/>
    <w:bookmarkEnd w:id="163"/>
    <w:p>
      <w:pPr>
        <w:jc w:val="right"/>
        <w:spacing w:after="0"/>
        <w:rPr>
          <w:sz w:val="20"/>
          <w:szCs w:val="20"/>
          <w:color w:val="auto"/>
        </w:rPr>
      </w:pPr>
      <w:r>
        <w:rPr>
          <w:rFonts w:ascii="Georgia" w:cs="Georgia" w:eastAsia="Georgia" w:hAnsi="Georgia"/>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Georgia" w:cs="Georgia" w:eastAsia="Georgia" w:hAnsi="Georgia"/>
          <w:sz w:val="14"/>
          <w:szCs w:val="14"/>
          <w:color w:val="auto"/>
        </w:rPr>
        <w:t>CONSENT OF INDEPENDENT REGISTERED PUBLIC ACCOUNTING FIRM</w:t>
      </w:r>
    </w:p>
    <w:p>
      <w:pPr>
        <w:spacing w:after="0" w:line="339" w:lineRule="exact"/>
        <w:rPr>
          <w:sz w:val="20"/>
          <w:szCs w:val="20"/>
          <w:color w:val="auto"/>
        </w:rPr>
      </w:pPr>
    </w:p>
    <w:p>
      <w:pPr>
        <w:spacing w:after="0" w:line="243" w:lineRule="auto"/>
        <w:rPr>
          <w:sz w:val="20"/>
          <w:szCs w:val="20"/>
          <w:color w:val="auto"/>
        </w:rPr>
      </w:pPr>
      <w:r>
        <w:rPr>
          <w:rFonts w:ascii="Georgia" w:cs="Georgia" w:eastAsia="Georgia" w:hAnsi="Georgia"/>
          <w:sz w:val="14"/>
          <w:szCs w:val="14"/>
          <w:color w:val="auto"/>
        </w:rPr>
        <w:t>We hereby consent to the incorporation by reference in this Registration Statement on Form S-3 of Crescent Biopharma, Inc. of our report dated February 26, 2026 relating to the financial statements, which appears in Crescent Biopharma, Inc.'s Annual Report on Form 10-K for the year ended December 31, 2025. We also consent to the reference to us under the heading “Experts” in such Registration Statement.</w:t>
      </w:r>
    </w:p>
    <w:p>
      <w:pPr>
        <w:spacing w:after="0" w:line="168" w:lineRule="exact"/>
        <w:rPr>
          <w:sz w:val="20"/>
          <w:szCs w:val="20"/>
          <w:color w:val="auto"/>
        </w:rPr>
      </w:pPr>
    </w:p>
    <w:p>
      <w:pPr>
        <w:spacing w:after="0"/>
        <w:rPr>
          <w:sz w:val="20"/>
          <w:szCs w:val="20"/>
          <w:color w:val="auto"/>
        </w:rPr>
      </w:pPr>
      <w:r>
        <w:rPr>
          <w:rFonts w:ascii="Georgia" w:cs="Georgia" w:eastAsia="Georgia" w:hAnsi="Georgia"/>
          <w:sz w:val="14"/>
          <w:szCs w:val="14"/>
          <w:color w:val="auto"/>
        </w:rPr>
        <w:t>/s/ PricewaterhouseCoopers LLP</w:t>
      </w:r>
    </w:p>
    <w:p>
      <w:pPr>
        <w:spacing w:after="0" w:line="5" w:lineRule="exact"/>
        <w:rPr>
          <w:sz w:val="20"/>
          <w:szCs w:val="20"/>
          <w:color w:val="auto"/>
        </w:rPr>
      </w:pPr>
    </w:p>
    <w:p>
      <w:pPr>
        <w:spacing w:after="0"/>
        <w:rPr>
          <w:sz w:val="20"/>
          <w:szCs w:val="20"/>
          <w:color w:val="auto"/>
        </w:rPr>
      </w:pPr>
      <w:r>
        <w:rPr>
          <w:rFonts w:ascii="Georgia" w:cs="Georgia" w:eastAsia="Georgia" w:hAnsi="Georgia"/>
          <w:sz w:val="14"/>
          <w:szCs w:val="14"/>
          <w:color w:val="auto"/>
        </w:rPr>
        <w:t>Boston, Massachusetts</w:t>
      </w:r>
    </w:p>
    <w:p>
      <w:pPr>
        <w:spacing w:after="0" w:line="5" w:lineRule="exact"/>
        <w:rPr>
          <w:sz w:val="20"/>
          <w:szCs w:val="20"/>
          <w:color w:val="auto"/>
        </w:rPr>
      </w:pPr>
    </w:p>
    <w:p>
      <w:pPr>
        <w:spacing w:after="0"/>
        <w:rPr>
          <w:sz w:val="20"/>
          <w:szCs w:val="20"/>
          <w:color w:val="auto"/>
        </w:rPr>
      </w:pPr>
      <w:r>
        <w:rPr>
          <w:rFonts w:ascii="Georgia" w:cs="Georgia" w:eastAsia="Georgia" w:hAnsi="Georgia"/>
          <w:sz w:val="14"/>
          <w:szCs w:val="14"/>
          <w:color w:val="auto"/>
        </w:rPr>
        <w:t>July 1, 2026</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Georgia" w:cs="Georgia" w:eastAsia="Georgia" w:hAnsi="Georgia"/>
          <w:sz w:val="14"/>
          <w:szCs w:val="14"/>
          <w:color w:val="auto"/>
        </w:rPr>
        <w:t>1</w:t>
      </w:r>
    </w:p>
    <w:sectPr>
      <w:pgSz w:w="11900" w:h="16838" w:orient="portrait"/>
      <w:cols w:equalWidth="0" w:num="1">
        <w:col w:w="11280"/>
      </w:cols>
      <w:pgMar w:left="300" w:top="13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lvl w:ilvl="1">
      <w:lvlJc w:val="left"/>
      <w:lvlText w:val="•"/>
      <w:numFmt w:val="bullet"/>
      <w:start w:val="1"/>
    </w:lvl>
  </w:abstractNum>
  <w:abstractNum w:abstractNumId="3">
    <w:nsid w:val="1DBABF00"/>
    <w:multiLevelType w:val="hybridMultilevel"/>
    <w:lvl w:ilvl="0">
      <w:lvlJc w:val="left"/>
      <w:lvlText w:val="(%1)"/>
      <w:numFmt w:val="upperLetter"/>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
      <w:numFmt w:val="bullet"/>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
      <w:numFmt w:val="bullet"/>
      <w:start w:val="1"/>
    </w:lvl>
    <w:lvl w:ilvl="1">
      <w:lvlJc w:val="left"/>
      <w:lvlText w:val="•"/>
      <w:numFmt w:val="bullet"/>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
      <w:numFmt w:val="bullet"/>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
      <w:numFmt w:val="bullet"/>
      <w:start w:val="1"/>
    </w:lvl>
  </w:abstractNum>
  <w:abstractNum w:abstractNumId="25">
    <w:nsid w:val="11447B73"/>
    <w:multiLevelType w:val="hybridMultilevel"/>
    <w:lvl w:ilvl="0">
      <w:lvlJc w:val="left"/>
      <w:lvlText w:val="(%1)"/>
      <w:numFmt w:val="decimal"/>
      <w:start w:val="1"/>
    </w:lvl>
  </w:abstractNum>
  <w:abstractNum w:abstractNumId="26">
    <w:nsid w:val="42963E5A"/>
    <w:multiLevelType w:val="hybridMultilevel"/>
    <w:lvl w:ilvl="0">
      <w:lvlJc w:val="left"/>
      <w:lvlText w:val=" "/>
      <w:numFmt w:val="bullet"/>
      <w:start w:val="1"/>
    </w:lvl>
  </w:abstractNum>
  <w:abstractNum w:abstractNumId="27">
    <w:nsid w:val="A0382C5"/>
    <w:multiLevelType w:val="hybridMultilevel"/>
    <w:lvl w:ilvl="0">
      <w:lvlJc w:val="left"/>
      <w:lvlText w:val="%1"/>
      <w:numFmt w:val="decimal"/>
      <w:start w:val="107"/>
    </w:lvl>
  </w:abstractNum>
  <w:abstractNum w:abstractNumId="28">
    <w:nsid w:val="8F2B15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9">
    <w:nsid w:val="1A32234B"/>
    <w:multiLevelType w:val="hybridMultilevel"/>
    <w:lvl w:ilvl="0">
      <w:lvlJc w:val="left"/>
      <w:lvlText w:val="(%1)"/>
      <w:numFmt w:val="decimal"/>
      <w:start w:val="2"/>
    </w:lvl>
    <w:lvl w:ilvl="1">
      <w:lvlJc w:val="left"/>
      <w:lvlText w:val="(%2)"/>
      <w:numFmt w:val="upperLetter"/>
      <w:start w:val="1"/>
    </w:lvl>
  </w:abstractNum>
  <w:abstractNum w:abstractNumId="30">
    <w:nsid w:val="3B0FD379"/>
    <w:multiLevelType w:val="hybridMultilevel"/>
    <w:lvl w:ilvl="0">
      <w:lvlJc w:val="left"/>
      <w:lvlText w:val="%1"/>
      <w:numFmt w:val="lowerLetter"/>
      <w:start w:val="1"/>
    </w:lvl>
    <w:lvl w:ilvl="1">
      <w:lvlJc w:val="left"/>
      <w:lvlText w:val="(%2)"/>
      <w:numFmt w:val="lowerRoman"/>
      <w:start w:val="1"/>
    </w:lvl>
  </w:abstractNum>
  <w:abstractNum w:abstractNumId="31">
    <w:nsid w:val="68EB2F63"/>
    <w:multiLevelType w:val="hybridMultilevel"/>
    <w:lvl w:ilvl="0">
      <w:lvlJc w:val="left"/>
      <w:lvlText w:val="(%1)"/>
      <w:numFmt w:val="lowerLetter"/>
      <w:start w:val="2"/>
    </w:lvl>
    <w:lvl w:ilvl="1">
      <w:lvlJc w:val="left"/>
      <w:lvlText w:val="%2"/>
      <w:numFmt w:val="lowerRoman"/>
      <w:start w:val="1"/>
    </w:lvl>
  </w:abstractNum>
  <w:abstractNum w:abstractNumId="32">
    <w:nsid w:val="4962813B"/>
    <w:multiLevelType w:val="hybridMultilevel"/>
    <w:lvl w:ilvl="0">
      <w:lvlJc w:val="left"/>
      <w:lvlText w:val="(%1)"/>
      <w:numFmt w:val="lowerLetter"/>
      <w:start w:val="8"/>
    </w:lvl>
  </w:abstractNum>
  <w:abstractNum w:abstractNumId="33">
    <w:nsid w:val="60B6DF70"/>
    <w:multiLevelType w:val="hybridMultilevel"/>
    <w:lvl w:ilvl="0">
      <w:lvlJc w:val="left"/>
      <w:lvlText w:val="(%1)"/>
      <w:numFmt w:val="lowerLetter"/>
      <w:start w:val="10"/>
    </w:lvl>
  </w:abstractNum>
  <w:abstractNum w:abstractNumId="34">
    <w:nsid w:val="6A5EE64"/>
    <w:multiLevelType w:val="hybridMultilevel"/>
    <w:lvl w:ilvl="0">
      <w:lvlJc w:val="left"/>
      <w:lvlText w:val="(%1)"/>
      <w:numFmt w:val="lowerLetter"/>
      <w:start w:val="1"/>
    </w:lvl>
  </w:abstractNum>
  <w:abstractNum w:abstractNumId="35">
    <w:nsid w:val="14330624"/>
    <w:multiLevelType w:val="hybridMultilevel"/>
    <w:lvl w:ilvl="0">
      <w:lvlJc w:val="left"/>
      <w:lvlText w:val="(%1)"/>
      <w:numFmt w:val="lowerLetter"/>
      <w:start w:val="1"/>
    </w:lvl>
  </w:abstractNum>
  <w:abstractNum w:abstractNumId="36">
    <w:nsid w:val="7FFFCA11"/>
    <w:multiLevelType w:val="hybridMultilevel"/>
    <w:lvl w:ilvl="0">
      <w:lvlJc w:val="left"/>
      <w:lvlText w:val="(%1)"/>
      <w:numFmt w:val="lowerLetter"/>
      <w:start w:val="2"/>
    </w:lvl>
  </w:abstractNum>
  <w:abstractNum w:abstractNumId="37">
    <w:nsid w:val="1A27709E"/>
    <w:multiLevelType w:val="hybridMultilevel"/>
    <w:lvl w:ilvl="0">
      <w:lvlJc w:val="left"/>
      <w:lvlText w:val="(%1)"/>
      <w:numFmt w:val="lowerLetter"/>
      <w:start w:val="4"/>
    </w:lvl>
  </w:abstractNum>
  <w:abstractNum w:abstractNumId="38">
    <w:nsid w:val="71EA1109"/>
    <w:multiLevelType w:val="hybridMultilevel"/>
    <w:lvl w:ilvl="0">
      <w:lvlJc w:val="left"/>
      <w:lvlText w:val="(%1)"/>
      <w:numFmt w:val="lowerLetter"/>
      <w:start w:val="10"/>
    </w:lvl>
  </w:abstractNum>
  <w:abstractNum w:abstractNumId="39">
    <w:nsid w:val="100F59DC"/>
    <w:multiLevelType w:val="hybridMultilevel"/>
    <w:lvl w:ilvl="0">
      <w:lvlJc w:val="left"/>
      <w:lvlText w:val="(%1)"/>
      <w:numFmt w:val="lowerLetter"/>
      <w:start w:val="14"/>
    </w:lvl>
  </w:abstractNum>
  <w:abstractNum w:abstractNumId="40">
    <w:nsid w:val="7FB7E0AA"/>
    <w:multiLevelType w:val="hybridMultilevel"/>
    <w:lvl w:ilvl="0">
      <w:lvlJc w:val="left"/>
      <w:lvlText w:val="(%1)"/>
      <w:numFmt w:val="lowerLetter"/>
      <w:start w:val="17"/>
    </w:lvl>
  </w:abstractNum>
  <w:abstractNum w:abstractNumId="41">
    <w:nsid w:val="6EB5BD4"/>
    <w:multiLevelType w:val="hybridMultilevel"/>
    <w:lvl w:ilvl="0">
      <w:lvlJc w:val="left"/>
      <w:lvlText w:val="(%1)"/>
      <w:numFmt w:val="lowerLetter"/>
      <w:start w:val="19"/>
    </w:lvl>
  </w:abstractNum>
  <w:abstractNum w:abstractNumId="42">
    <w:nsid w:val="6F6DD9AC"/>
    <w:multiLevelType w:val="hybridMultilevel"/>
    <w:lvl w:ilvl="0">
      <w:lvlJc w:val="left"/>
      <w:lvlText w:val="(%1)"/>
      <w:numFmt w:val="lowerRoman"/>
      <w:start w:val="5"/>
    </w:lvl>
  </w:abstractNum>
  <w:abstractNum w:abstractNumId="43">
    <w:nsid w:val="94211F2"/>
    <w:multiLevelType w:val="hybridMultilevel"/>
    <w:lvl w:ilvl="0">
      <w:lvlJc w:val="left"/>
      <w:lvlText w:val="(%1)"/>
      <w:numFmt w:val="lowerLetter"/>
      <w:start w:val="23"/>
    </w:lvl>
  </w:abstractNum>
  <w:abstractNum w:abstractNumId="44">
    <w:nsid w:val="885E1B"/>
    <w:multiLevelType w:val="hybridMultilevel"/>
    <w:lvl w:ilvl="0">
      <w:lvlJc w:val="left"/>
      <w:lvlText w:val="(%1)"/>
      <w:numFmt w:val="lowerLetter"/>
      <w:start w:val="27"/>
    </w:lvl>
  </w:abstractNum>
  <w:abstractNum w:abstractNumId="45">
    <w:nsid w:val="76272110"/>
    <w:multiLevelType w:val="hybridMultilevel"/>
    <w:lvl w:ilvl="0">
      <w:lvlJc w:val="left"/>
      <w:lvlText w:val="(%1)"/>
      <w:numFmt w:val="lowerLetter"/>
      <w:start w:val="28"/>
    </w:lvl>
  </w:abstractNum>
  <w:abstractNum w:abstractNumId="46">
    <w:nsid w:val="4C04A8AF"/>
    <w:multiLevelType w:val="hybridMultilevel"/>
    <w:lvl w:ilvl="0">
      <w:lvlJc w:val="left"/>
      <w:lvlText w:val="(%1)"/>
      <w:numFmt w:val="lowerLetter"/>
      <w:start w:val="31"/>
    </w:lvl>
    <w:lvl w:ilvl="1">
      <w:lvlJc w:val="left"/>
      <w:lvlText w:val="(%2)"/>
      <w:numFmt w:val="lowerLetter"/>
      <w:start w:val="34"/>
    </w:lvl>
    <w:lvl w:ilvl="2">
      <w:lvlJc w:val="left"/>
      <w:lvlText w:val="(%3)"/>
      <w:numFmt w:val="lowerLetter"/>
      <w:start w:val="33"/>
    </w:lvl>
    <w:lvl w:ilvl="3">
      <w:lvlJc w:val="left"/>
      <w:lvlText w:val="(%4)"/>
      <w:numFmt w:val="lowerLetter"/>
      <w:start w:val="32"/>
    </w:lvl>
  </w:abstractNum>
  <w:abstractNum w:abstractNumId="47">
    <w:nsid w:val="1716703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6"/>
    </w:lvl>
    <w:lvl w:ilvl="3">
      <w:lvlJc w:val="left"/>
      <w:lvlText w:val="%4"/>
      <w:numFmt w:val="lowerLetter"/>
      <w:start w:val="1"/>
    </w:lvl>
  </w:abstractNum>
  <w:abstractNum w:abstractNumId="48">
    <w:nsid w:val="14E17E33"/>
    <w:multiLevelType w:val="hybridMultilevel"/>
    <w:lvl w:ilvl="0">
      <w:lvlJc w:val="left"/>
      <w:lvlText w:val="(%1)"/>
      <w:numFmt w:val="lowerLetter"/>
      <w:start w:val="38"/>
    </w:lvl>
  </w:abstractNum>
  <w:abstractNum w:abstractNumId="49">
    <w:nsid w:val="3222E7CD"/>
    <w:multiLevelType w:val="hybridMultilevel"/>
    <w:lvl w:ilvl="0">
      <w:lvlJc w:val="left"/>
      <w:lvlText w:val="(%1)"/>
      <w:numFmt w:val="lowerLetter"/>
      <w:start w:val="39"/>
    </w:lvl>
  </w:abstractNum>
  <w:abstractNum w:abstractNumId="50">
    <w:nsid w:val="74DE0EE3"/>
    <w:multiLevelType w:val="hybridMultilevel"/>
    <w:lvl w:ilvl="0">
      <w:lvlJc w:val="left"/>
      <w:lvlText w:val="%1"/>
      <w:numFmt w:val="lowerLetter"/>
      <w:start w:val="1"/>
    </w:lvl>
    <w:lvl w:ilvl="1">
      <w:lvlJc w:val="left"/>
      <w:lvlText w:val="(%2)"/>
      <w:numFmt w:val="lowerLetter"/>
      <w:start w:val="40"/>
    </w:lvl>
  </w:abstractNum>
  <w:abstractNum w:abstractNumId="51">
    <w:nsid w:val="68EBC550"/>
    <w:multiLevelType w:val="hybridMultilevel"/>
    <w:lvl w:ilvl="0">
      <w:lvlJc w:val="left"/>
      <w:lvlText w:val="(%1)"/>
      <w:numFmt w:val="lowerLetter"/>
      <w:start w:val="41"/>
    </w:lvl>
    <w:lvl w:ilvl="1">
      <w:lvlJc w:val="left"/>
      <w:lvlText w:val="(%2)"/>
      <w:numFmt w:val="lowerLetter"/>
      <w:start w:val="42"/>
    </w:lvl>
  </w:abstractNum>
  <w:abstractNum w:abstractNumId="52">
    <w:nsid w:val="2DF6D648"/>
    <w:multiLevelType w:val="hybridMultilevel"/>
    <w:lvl w:ilvl="0">
      <w:lvlJc w:val="left"/>
      <w:lvlText w:val="(%1)"/>
      <w:numFmt w:val="lowerLetter"/>
      <w:start w:val="43"/>
    </w:lvl>
  </w:abstractNum>
  <w:abstractNum w:abstractNumId="53">
    <w:nsid w:val="46B7D447"/>
    <w:multiLevelType w:val="hybridMultilevel"/>
    <w:lvl w:ilvl="0">
      <w:lvlJc w:val="left"/>
      <w:lvlText w:val="%1"/>
      <w:numFmt w:val="lowerLetter"/>
      <w:start w:val="1"/>
    </w:lvl>
    <w:lvl w:ilvl="1">
      <w:lvlJc w:val="left"/>
      <w:lvlText w:val="(%2)"/>
      <w:numFmt w:val="lowerLetter"/>
      <w:start w:val="44"/>
    </w:lvl>
  </w:abstractNum>
  <w:abstractNum w:abstractNumId="54">
    <w:nsid w:val="4A2AC315"/>
    <w:multiLevelType w:val="hybridMultilevel"/>
    <w:lvl w:ilvl="0">
      <w:lvlJc w:val="left"/>
      <w:lvlText w:val="(%1)"/>
      <w:numFmt w:val="lowerLetter"/>
      <w:start w:val="45"/>
    </w:lvl>
    <w:lvl w:ilvl="1">
      <w:lvlJc w:val="left"/>
      <w:lvlText w:val="%2"/>
      <w:numFmt w:val="lowerLetter"/>
      <w:start w:val="1"/>
    </w:lvl>
  </w:abstractNum>
  <w:abstractNum w:abstractNumId="55">
    <w:nsid w:val="39EE015C"/>
    <w:multiLevelType w:val="hybridMultilevel"/>
    <w:lvl w:ilvl="0">
      <w:lvlJc w:val="left"/>
      <w:lvlText w:val="(%1)"/>
      <w:numFmt w:val="lowerLetter"/>
      <w:start w:val="46"/>
    </w:lvl>
    <w:lvl w:ilvl="1">
      <w:lvlJc w:val="left"/>
      <w:lvlText w:val="(%2)"/>
      <w:numFmt w:val="lowerLetter"/>
      <w:start w:val="47"/>
    </w:lvl>
  </w:abstractNum>
  <w:abstractNum w:abstractNumId="56">
    <w:nsid w:val="57FC4FBB"/>
    <w:multiLevelType w:val="hybridMultilevel"/>
    <w:lvl w:ilvl="0">
      <w:lvlJc w:val="left"/>
      <w:lvlText w:val="(%1)"/>
      <w:numFmt w:val="lowerLetter"/>
      <w:start w:val="48"/>
    </w:lvl>
  </w:abstractNum>
  <w:abstractNum w:abstractNumId="57">
    <w:nsid w:val="CC1016F"/>
    <w:multiLevelType w:val="hybridMultilevel"/>
    <w:lvl w:ilvl="0">
      <w:lvlJc w:val="left"/>
      <w:lvlText w:val="%1"/>
      <w:numFmt w:val="lowerLetter"/>
      <w:start w:val="1"/>
    </w:lvl>
    <w:lvl w:ilvl="1">
      <w:lvlJc w:val="left"/>
      <w:lvlText w:val="(%2)"/>
      <w:numFmt w:val="lowerLetter"/>
      <w:start w:val="51"/>
    </w:lvl>
  </w:abstractNum>
  <w:abstractNum w:abstractNumId="58">
    <w:nsid w:val="43F18422"/>
    <w:multiLevelType w:val="hybridMultilevel"/>
    <w:lvl w:ilvl="0">
      <w:lvlJc w:val="left"/>
      <w:lvlText w:val="(%1)"/>
      <w:numFmt w:val="lowerLetter"/>
      <w:start w:val="52"/>
    </w:lvl>
    <w:lvl w:ilvl="1">
      <w:lvlJc w:val="left"/>
      <w:lvlText w:val="%2"/>
      <w:numFmt w:val="lowerLetter"/>
      <w:start w:val="1"/>
    </w:lvl>
  </w:abstractNum>
  <w:abstractNum w:abstractNumId="59">
    <w:nsid w:val="60EF0119"/>
    <w:multiLevelType w:val="hybridMultilevel"/>
    <w:lvl w:ilvl="0">
      <w:lvlJc w:val="left"/>
      <w:lvlText w:val="(%1)"/>
      <w:numFmt w:val="lowerLetter"/>
      <w:start w:val="1"/>
    </w:lvl>
  </w:abstractNum>
  <w:abstractNum w:abstractNumId="60">
    <w:nsid w:val="26F324BA"/>
    <w:multiLevelType w:val="hybridMultilevel"/>
    <w:lvl w:ilvl="0">
      <w:lvlJc w:val="left"/>
      <w:lvlText w:val="(%1)"/>
      <w:numFmt w:val="lowerRoman"/>
      <w:start w:val="1"/>
    </w:lvl>
  </w:abstractNum>
  <w:abstractNum w:abstractNumId="61">
    <w:nsid w:val="7F01579B"/>
    <w:multiLevelType w:val="hybridMultilevel"/>
    <w:lvl w:ilvl="0">
      <w:lvlJc w:val="left"/>
      <w:lvlText w:val="(%1)"/>
      <w:numFmt w:val="lowerRoman"/>
      <w:start w:val="2"/>
    </w:lvl>
  </w:abstractNum>
  <w:abstractNum w:abstractNumId="62">
    <w:nsid w:val="49DA307D"/>
    <w:multiLevelType w:val="hybridMultilevel"/>
    <w:lvl w:ilvl="0">
      <w:lvlJc w:val="left"/>
      <w:lvlText w:val="(%1)"/>
      <w:numFmt w:val="lowerRoman"/>
      <w:start w:val="7"/>
    </w:lvl>
  </w:abstractNum>
  <w:abstractNum w:abstractNumId="63">
    <w:nsid w:val="7055A5F5"/>
    <w:multiLevelType w:val="hybridMultilevel"/>
    <w:lvl w:ilvl="0">
      <w:lvlJc w:val="left"/>
      <w:lvlText w:val="(%1)"/>
      <w:numFmt w:val="lowerLetter"/>
      <w:start w:val="3"/>
    </w:lvl>
  </w:abstractNum>
  <w:abstractNum w:abstractNumId="64">
    <w:nsid w:val="5FB8370B"/>
    <w:multiLevelType w:val="hybridMultilevel"/>
    <w:lvl w:ilvl="0">
      <w:lvlJc w:val="left"/>
      <w:lvlText w:val="(%1)"/>
      <w:numFmt w:val="lowerLetter"/>
      <w:start w:val="1"/>
    </w:lvl>
  </w:abstractNum>
  <w:abstractNum w:abstractNumId="65">
    <w:nsid w:val="50801EE1"/>
    <w:multiLevelType w:val="hybridMultilevel"/>
    <w:lvl w:ilvl="0">
      <w:lvlJc w:val="left"/>
      <w:lvlText w:val="(%1)"/>
      <w:numFmt w:val="lowerLetter"/>
      <w:start w:val="4"/>
    </w:lvl>
  </w:abstractNum>
  <w:abstractNum w:abstractNumId="66">
    <w:nsid w:val="488AC1A"/>
    <w:multiLevelType w:val="hybridMultilevel"/>
    <w:lvl w:ilvl="0">
      <w:lvlJc w:val="left"/>
      <w:lvlText w:val="(%1)"/>
      <w:numFmt w:val="lowerLetter"/>
      <w:start w:val="7"/>
    </w:lvl>
  </w:abstractNum>
  <w:abstractNum w:abstractNumId="67">
    <w:nsid w:val="5FB8011C"/>
    <w:multiLevelType w:val="hybridMultilevel"/>
    <w:lvl w:ilvl="0">
      <w:lvlJc w:val="left"/>
      <w:lvlText w:val="(%1)"/>
      <w:numFmt w:val="lowerLetter"/>
      <w:start w:val="11"/>
    </w:lvl>
  </w:abstractNum>
  <w:abstractNum w:abstractNumId="68">
    <w:nsid w:val="6AA78F7F"/>
    <w:multiLevelType w:val="hybridMultilevel"/>
    <w:lvl w:ilvl="0">
      <w:lvlJc w:val="left"/>
      <w:lvlText w:val="(%1)"/>
      <w:numFmt w:val="upperLetter"/>
      <w:start w:val="1"/>
    </w:lvl>
  </w:abstractNum>
  <w:abstractNum w:abstractNumId="69">
    <w:nsid w:val="7672BD23"/>
    <w:multiLevelType w:val="hybridMultilevel"/>
    <w:lvl w:ilvl="0">
      <w:lvlJc w:val="left"/>
      <w:lvlText w:val="&amp;"/>
      <w:numFmt w:val="bullet"/>
      <w:start w:val="1"/>
    </w:lvl>
    <w:lvl w:ilvl="1">
      <w:lvlJc w:val="left"/>
      <w:lvlText w:val="(%2)"/>
      <w:numFmt w:val="lowerLetter"/>
      <w:start w:val="16"/>
    </w:lvl>
  </w:abstractNum>
  <w:abstractNum w:abstractNumId="70">
    <w:nsid w:val="6FC75AF8"/>
    <w:multiLevelType w:val="hybridMultilevel"/>
    <w:lvl w:ilvl="0">
      <w:lvlJc w:val="left"/>
      <w:lvlText w:val="&amp;"/>
      <w:numFmt w:val="bullet"/>
      <w:start w:val="1"/>
    </w:lvl>
    <w:lvl w:ilvl="1">
      <w:lvlJc w:val="left"/>
      <w:lvlText w:val="(%2)"/>
      <w:numFmt w:val="lowerLetter"/>
      <w:start w:val="17"/>
    </w:lvl>
  </w:abstractNum>
  <w:abstractNum w:abstractNumId="71">
    <w:nsid w:val="6A5F7029"/>
    <w:multiLevelType w:val="hybridMultilevel"/>
    <w:lvl w:ilvl="0">
      <w:lvlJc w:val="left"/>
      <w:lvlText w:val="(%1)"/>
      <w:numFmt w:val="lowerLetter"/>
      <w:start w:val="18"/>
    </w:lvl>
  </w:abstractNum>
  <w:abstractNum w:abstractNumId="72">
    <w:nsid w:val="7D5E18F8"/>
    <w:multiLevelType w:val="hybridMultilevel"/>
    <w:lvl w:ilvl="0">
      <w:lvlJc w:val="left"/>
      <w:lvlText w:val="(%1)"/>
      <w:numFmt w:val="lowerLetter"/>
      <w:start w:val="1"/>
    </w:lvl>
  </w:abstractNum>
  <w:abstractNum w:abstractNumId="73">
    <w:nsid w:val="5F3534A4"/>
    <w:multiLevelType w:val="hybridMultilevel"/>
    <w:lvl w:ilvl="0">
      <w:lvlJc w:val="left"/>
      <w:lvlText w:val="(%1)"/>
      <w:numFmt w:val="lowerRoman"/>
      <w:start w:val="1"/>
    </w:lvl>
  </w:abstractNum>
  <w:abstractNum w:abstractNumId="74">
    <w:nsid w:val="73A1821B"/>
    <w:multiLevelType w:val="hybridMultilevel"/>
    <w:lvl w:ilvl="0">
      <w:lvlJc w:val="left"/>
      <w:lvlText w:val="(%1)"/>
      <w:numFmt w:val="lowerRoman"/>
      <w:start w:val="4"/>
    </w:lvl>
  </w:abstractNum>
  <w:abstractNum w:abstractNumId="75">
    <w:nsid w:val="7DE67713"/>
    <w:multiLevelType w:val="hybridMultilevel"/>
    <w:lvl w:ilvl="0">
      <w:lvlJc w:val="left"/>
      <w:lvlText w:val="(%1)"/>
      <w:numFmt w:val="lowerLetter"/>
      <w:start w:val="2"/>
    </w:lvl>
  </w:abstractNum>
  <w:abstractNum w:abstractNumId="76">
    <w:nsid w:val="555C55B5"/>
    <w:multiLevelType w:val="hybridMultilevel"/>
    <w:lvl w:ilvl="0">
      <w:lvlJc w:val="left"/>
      <w:lvlText w:val="(%1)"/>
      <w:numFmt w:val="lowerLetter"/>
      <w:start w:val="1"/>
    </w:lvl>
  </w:abstractNum>
  <w:abstractNum w:abstractNumId="77">
    <w:nsid w:val="3FA62ACA"/>
    <w:multiLevelType w:val="hybridMultilevel"/>
    <w:lvl w:ilvl="0">
      <w:lvlJc w:val="left"/>
      <w:lvlText w:val="(%1)"/>
      <w:numFmt w:val="lowerLetter"/>
      <w:start w:val="35"/>
    </w:lvl>
    <w:lvl w:ilvl="1">
      <w:lvlJc w:val="left"/>
      <w:lvlText w:val="(%2)"/>
      <w:numFmt w:val="lowerLetter"/>
      <w:start w:val="2"/>
    </w:lvl>
  </w:abstractNum>
  <w:abstractNum w:abstractNumId="78">
    <w:nsid w:val="14FCE74E"/>
    <w:multiLevelType w:val="hybridMultilevel"/>
    <w:lvl w:ilvl="0">
      <w:lvlJc w:val="left"/>
      <w:lvlText w:val="(%1)"/>
      <w:numFmt w:val="lowerLetter"/>
      <w:start w:val="35"/>
    </w:lvl>
    <w:lvl w:ilvl="1">
      <w:lvlJc w:val="left"/>
      <w:lvlText w:val="%2"/>
      <w:numFmt w:val="lowerLetter"/>
      <w:start w:val="1"/>
    </w:lvl>
  </w:abstractNum>
  <w:abstractNum w:abstractNumId="79">
    <w:nsid w:val="6A3DD3E8"/>
    <w:multiLevelType w:val="hybridMultilevel"/>
    <w:lvl w:ilvl="0">
      <w:lvlJc w:val="left"/>
      <w:lvlText w:val="(%1)"/>
      <w:numFmt w:val="lowerLetter"/>
      <w:start w:val="35"/>
    </w:lvl>
    <w:lvl w:ilvl="1">
      <w:lvlJc w:val="left"/>
      <w:lvlText w:val="%2"/>
      <w:numFmt w:val="lowerLetter"/>
      <w:start w:val="1"/>
    </w:lvl>
  </w:abstractNum>
  <w:abstractNum w:abstractNumId="80">
    <w:nsid w:val="71C91298"/>
    <w:multiLevelType w:val="hybridMultilevel"/>
    <w:lvl w:ilvl="0">
      <w:lvlJc w:val="left"/>
      <w:lvlText w:val="(%1)"/>
      <w:numFmt w:val="lowerLetter"/>
      <w:start w:val="3"/>
    </w:lvl>
  </w:abstractNum>
  <w:abstractNum w:abstractNumId="81">
    <w:nsid w:val="9DAF632"/>
    <w:multiLevelType w:val="hybridMultilevel"/>
    <w:lvl w:ilvl="0">
      <w:lvlJc w:val="left"/>
      <w:lvlText w:val="(%1)"/>
      <w:numFmt w:val="lowerLetter"/>
      <w:start w:val="5"/>
    </w:lvl>
  </w:abstractNum>
  <w:abstractNum w:abstractNumId="82">
    <w:nsid w:val="53299938"/>
    <w:multiLevelType w:val="hybridMultilevel"/>
    <w:lvl w:ilvl="0">
      <w:lvlJc w:val="left"/>
      <w:lvlText w:val="(%1)"/>
      <w:numFmt w:val="lowerLetter"/>
      <w:start w:val="1"/>
    </w:lvl>
  </w:abstractNum>
  <w:abstractNum w:abstractNumId="83">
    <w:nsid w:val="1FBFE8E0"/>
    <w:multiLevelType w:val="hybridMultilevel"/>
    <w:lvl w:ilvl="0">
      <w:lvlJc w:val="left"/>
      <w:lvlText w:val="(%1)"/>
      <w:numFmt w:val="lowerRoman"/>
      <w:start w:val="1"/>
    </w:lvl>
  </w:abstractNum>
  <w:abstractNum w:abstractNumId="84">
    <w:nsid w:val="5092CA79"/>
    <w:multiLevelType w:val="hybridMultilevel"/>
    <w:lvl w:ilvl="0">
      <w:lvlJc w:val="left"/>
      <w:lvlText w:val="(%1)"/>
      <w:numFmt w:val="lowerLetter"/>
      <w:start w:val="1"/>
    </w:lvl>
  </w:abstractNum>
  <w:abstractNum w:abstractNumId="85">
    <w:nsid w:val="1D545C4D"/>
    <w:multiLevelType w:val="hybridMultilevel"/>
    <w:lvl w:ilvl="0">
      <w:lvlJc w:val="left"/>
      <w:lvlText w:val="(%1)"/>
      <w:numFmt w:val="lowerLetter"/>
      <w:start w:val="3"/>
    </w:lvl>
  </w:abstractNum>
  <w:abstractNum w:abstractNumId="86">
    <w:nsid w:val="59ADEA3D"/>
    <w:multiLevelType w:val="hybridMultilevel"/>
    <w:lvl w:ilvl="0">
      <w:lvlJc w:val="left"/>
      <w:lvlText w:val="(%1)"/>
      <w:numFmt w:val="lowerLetter"/>
      <w:start w:val="5"/>
    </w:lvl>
  </w:abstractNum>
  <w:abstractNum w:abstractNumId="87">
    <w:nsid w:val="288F1A34"/>
    <w:multiLevelType w:val="hybridMultilevel"/>
    <w:lvl w:ilvl="0">
      <w:lvlJc w:val="left"/>
      <w:lvlText w:val="(%1)"/>
      <w:numFmt w:val="lowerRoman"/>
      <w:start w:val="1"/>
    </w:lvl>
  </w:abstractNum>
  <w:abstractNum w:abstractNumId="88">
    <w:nsid w:val="2A155DBC"/>
    <w:multiLevelType w:val="hybridMultilevel"/>
    <w:lvl w:ilvl="0">
      <w:lvlJc w:val="left"/>
      <w:lvlText w:val="(%1)"/>
      <w:numFmt w:val="lowerLetter"/>
      <w:start w:val="8"/>
    </w:lvl>
  </w:abstractNum>
  <w:abstractNum w:abstractNumId="89">
    <w:nsid w:val="1D9F6E5F"/>
    <w:multiLevelType w:val="hybridMultilevel"/>
    <w:lvl w:ilvl="0">
      <w:lvlJc w:val="left"/>
      <w:lvlText w:val="(%1)"/>
      <w:numFmt w:val="lowerLetter"/>
      <w:start w:val="1"/>
    </w:lvl>
  </w:abstractNum>
  <w:abstractNum w:abstractNumId="90">
    <w:nsid w:val="97E1B4E"/>
    <w:multiLevelType w:val="hybridMultilevel"/>
    <w:lvl w:ilvl="0">
      <w:lvlJc w:val="left"/>
      <w:lvlText w:val="(%1)"/>
      <w:numFmt w:val="lowerLetter"/>
      <w:start w:val="1"/>
    </w:lvl>
  </w:abstractNum>
  <w:abstractNum w:abstractNumId="91">
    <w:nsid w:val="51088277"/>
    <w:multiLevelType w:val="hybridMultilevel"/>
    <w:lvl w:ilvl="0">
      <w:lvlJc w:val="left"/>
      <w:lvlText w:val="(%1)"/>
      <w:numFmt w:val="lowerLetter"/>
      <w:start w:val="1"/>
    </w:lvl>
  </w:abstractNum>
  <w:abstractNum w:abstractNumId="92">
    <w:nsid w:val="1CA0C5F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3">
    <w:nsid w:val="53584BCB"/>
    <w:multiLevelType w:val="hybridMultilevel"/>
    <w:lvl w:ilvl="0">
      <w:lvlJc w:val="left"/>
      <w:lvlText w:val="(%1)"/>
      <w:numFmt w:val="lowerLetter"/>
      <w:start w:val="2"/>
    </w:lvl>
    <w:lvl w:ilvl="1">
      <w:lvlJc w:val="left"/>
      <w:lvlText w:val="(%2)"/>
      <w:numFmt w:val="lowerLetter"/>
      <w:start w:val="4"/>
    </w:lvl>
    <w:lvl w:ilvl="2">
      <w:lvlJc w:val="left"/>
      <w:lvlText w:val="(%3)"/>
      <w:numFmt w:val="lowerRoman"/>
      <w:start w:val="1"/>
    </w:lvl>
  </w:abstractNum>
  <w:abstractNum w:abstractNumId="94">
    <w:nsid w:val="415E286C"/>
    <w:multiLevelType w:val="hybridMultilevel"/>
    <w:lvl w:ilvl="0">
      <w:lvlJc w:val="left"/>
      <w:lvlText w:val="(%1)"/>
      <w:numFmt w:val="lowerLetter"/>
      <w:start w:val="5"/>
    </w:lvl>
    <w:lvl w:ilvl="1">
      <w:lvlJc w:val="left"/>
      <w:lvlText w:val="(%2)"/>
      <w:numFmt w:val="lowerRoman"/>
      <w:start w:val="1"/>
    </w:lvl>
  </w:abstractNum>
  <w:abstractNum w:abstractNumId="95">
    <w:nsid w:val="7C58FD05"/>
    <w:multiLevelType w:val="hybridMultilevel"/>
    <w:lvl w:ilvl="0">
      <w:lvlJc w:val="left"/>
      <w:lvlText w:val="(%1)"/>
      <w:numFmt w:val="lowerLetter"/>
      <w:start w:val="6"/>
    </w:lvl>
  </w:abstractNum>
  <w:abstractNum w:abstractNumId="96">
    <w:nsid w:val="23D86AAC"/>
    <w:multiLevelType w:val="hybridMultilevel"/>
    <w:lvl w:ilvl="0">
      <w:lvlJc w:val="left"/>
      <w:lvlText w:val="(%1)"/>
      <w:numFmt w:val="lowerLetter"/>
      <w:start w:val="1"/>
    </w:lvl>
  </w:abstractNum>
  <w:abstractNum w:abstractNumId="97">
    <w:nsid w:val="45E6D486"/>
    <w:multiLevelType w:val="hybridMultilevel"/>
    <w:lvl w:ilvl="0">
      <w:lvlJc w:val="left"/>
      <w:lvlText w:val="(%1)"/>
      <w:numFmt w:val="lowerLetter"/>
      <w:start w:val="1"/>
    </w:lvl>
  </w:abstractNum>
  <w:abstractNum w:abstractNumId="98">
    <w:nsid w:val="5C10FE21"/>
    <w:multiLevelType w:val="hybridMultilevel"/>
    <w:lvl w:ilvl="0">
      <w:lvlJc w:val="left"/>
      <w:lvlText w:val="(%1)"/>
      <w:numFmt w:val="lowerLetter"/>
      <w:start w:val="1"/>
    </w:lvl>
  </w:abstractNum>
  <w:abstractNum w:abstractNumId="99">
    <w:nsid w:val="E7FFA2B"/>
    <w:multiLevelType w:val="hybridMultilevel"/>
    <w:lvl w:ilvl="0">
      <w:lvlJc w:val="left"/>
      <w:lvlText w:val="(%1)"/>
      <w:numFmt w:val="lowerLetter"/>
      <w:start w:val="1"/>
    </w:lvl>
  </w:abstractNum>
  <w:abstractNum w:abstractNumId="100">
    <w:nsid w:val="3C5991AA"/>
    <w:multiLevelType w:val="hybridMultilevel"/>
    <w:lvl w:ilvl="0">
      <w:lvlJc w:val="left"/>
      <w:lvlText w:val="(%1)"/>
      <w:numFmt w:val="lowerLetter"/>
      <w:start w:val="4"/>
    </w:lvl>
  </w:abstractNum>
  <w:abstractNum w:abstractNumId="101">
    <w:nsid w:val="4BD8591A"/>
    <w:multiLevelType w:val="hybridMultilevel"/>
    <w:lvl w:ilvl="0">
      <w:lvlJc w:val="left"/>
      <w:lvlText w:val="(%1)"/>
      <w:numFmt w:val="lowerLetter"/>
      <w:start w:val="1"/>
    </w:lvl>
    <w:lvl w:ilvl="1">
      <w:lvlJc w:val="left"/>
      <w:lvlText w:val="(%2)"/>
      <w:numFmt w:val="lowerLetter"/>
      <w:start w:val="9"/>
    </w:lvl>
  </w:abstractNum>
  <w:abstractNum w:abstractNumId="102">
    <w:nsid w:val="78DF6A55"/>
    <w:multiLevelType w:val="hybridMultilevel"/>
    <w:lvl w:ilvl="0">
      <w:lvlJc w:val="left"/>
      <w:lvlText w:val="%1"/>
      <w:numFmt w:val="lowerLetter"/>
      <w:start w:val="1"/>
    </w:lvl>
    <w:lvl w:ilvl="1">
      <w:lvlJc w:val="left"/>
      <w:lvlText w:val="(%2)"/>
      <w:numFmt w:val="lowerLetter"/>
      <w:start w:val="35"/>
    </w:lvl>
  </w:abstractNum>
  <w:abstractNum w:abstractNumId="103">
    <w:nsid w:val="39B7AAA2"/>
    <w:multiLevelType w:val="hybridMultilevel"/>
    <w:lvl w:ilvl="0">
      <w:lvlJc w:val="left"/>
      <w:lvlText w:val="(%1)"/>
      <w:numFmt w:val="lowerLetter"/>
      <w:start w:val="3"/>
    </w:lvl>
    <w:lvl w:ilvl="1">
      <w:lvlJc w:val="left"/>
      <w:lvlText w:val="(%2)"/>
      <w:numFmt w:val="lowerLetter"/>
      <w:start w:val="9"/>
    </w:lvl>
  </w:abstractNum>
  <w:abstractNum w:abstractNumId="104">
    <w:nsid w:val="2B0D8DBE"/>
    <w:multiLevelType w:val="hybridMultilevel"/>
    <w:lvl w:ilvl="0">
      <w:lvlJc w:val="left"/>
      <w:lvlText w:val="%1"/>
      <w:numFmt w:val="lowerLetter"/>
      <w:start w:val="1"/>
    </w:lvl>
    <w:lvl w:ilvl="1">
      <w:lvlJc w:val="left"/>
      <w:lvlText w:val="(%2)"/>
      <w:numFmt w:val="lowerRoman"/>
      <w:start w:val="2"/>
    </w:lvl>
  </w:abstractNum>
  <w:abstractNum w:abstractNumId="105">
    <w:nsid w:val="6C80EC70"/>
    <w:multiLevelType w:val="hybridMultilevel"/>
    <w:lvl w:ilvl="0">
      <w:lvlJc w:val="left"/>
      <w:lvlText w:val="(%1)"/>
      <w:numFmt w:val="lowerLetter"/>
      <w:start w:val="4"/>
    </w:lvl>
    <w:lvl w:ilvl="1">
      <w:lvlJc w:val="left"/>
      <w:lvlText w:val="%2"/>
      <w:numFmt w:val="lowerRoman"/>
      <w:start w:val="1"/>
    </w:lvl>
  </w:abstractNum>
  <w:abstractNum w:abstractNumId="106">
    <w:nsid w:val="379E21B5"/>
    <w:multiLevelType w:val="hybridMultilevel"/>
    <w:lvl w:ilvl="0">
      <w:lvlJc w:val="left"/>
      <w:lvlText w:val="(%1)"/>
      <w:numFmt w:val="lowerLetter"/>
      <w:start w:val="1"/>
    </w:lvl>
  </w:abstractNum>
  <w:abstractNum w:abstractNumId="107">
    <w:nsid w:val="69E373"/>
    <w:multiLevelType w:val="hybridMultilevel"/>
    <w:lvl w:ilvl="0">
      <w:lvlJc w:val="left"/>
      <w:lvlText w:val="(%1)"/>
      <w:numFmt w:val="lowerLetter"/>
      <w:start w:val="1"/>
    </w:lvl>
  </w:abstractNum>
  <w:abstractNum w:abstractNumId="108">
    <w:nsid w:val="2C27173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09">
    <w:nsid w:val="4C9B0904"/>
    <w:multiLevelType w:val="hybridMultilevel"/>
    <w:lvl w:ilvl="0">
      <w:lvlJc w:val="left"/>
      <w:lvlText w:val="(%1)"/>
      <w:numFmt w:val="lowerLetter"/>
      <w:start w:val="2"/>
    </w:lvl>
  </w:abstractNum>
  <w:abstractNum w:abstractNumId="110">
    <w:nsid w:val="6AA7B75C"/>
    <w:multiLevelType w:val="hybridMultilevel"/>
    <w:lvl w:ilvl="0">
      <w:lvlJc w:val="left"/>
      <w:lvlText w:val="(%1)"/>
      <w:numFmt w:val="lowerLetter"/>
      <w:start w:val="1"/>
    </w:lvl>
  </w:abstractNum>
  <w:abstractNum w:abstractNumId="111">
    <w:nsid w:val="1DF029D3"/>
    <w:multiLevelType w:val="hybridMultilevel"/>
    <w:lvl w:ilvl="0">
      <w:lvlJc w:val="left"/>
      <w:lvlText w:val="(%1)"/>
      <w:numFmt w:val="lowerLetter"/>
      <w:start w:val="1"/>
    </w:lvl>
  </w:abstractNum>
  <w:abstractNum w:abstractNumId="112">
    <w:nsid w:val="5675FF36"/>
    <w:multiLevelType w:val="hybridMultilevel"/>
    <w:lvl w:ilvl="0">
      <w:lvlJc w:val="left"/>
      <w:lvlText w:val="(%1)"/>
      <w:numFmt w:val="lowerLetter"/>
      <w:start w:val="4"/>
    </w:lvl>
  </w:abstractNum>
  <w:abstractNum w:abstractNumId="113">
    <w:nsid w:val="3DD15094"/>
    <w:multiLevelType w:val="hybridMultilevel"/>
    <w:lvl w:ilvl="0">
      <w:lvlJc w:val="left"/>
      <w:lvlText w:val="(%1)"/>
      <w:numFmt w:val="lowerLetter"/>
      <w:start w:val="8"/>
    </w:lvl>
  </w:abstractNum>
  <w:abstractNum w:abstractNumId="114">
    <w:nsid w:val="3DB012B3"/>
    <w:multiLevelType w:val="hybridMultilevel"/>
    <w:lvl w:ilvl="0">
      <w:lvlJc w:val="left"/>
      <w:lvlText w:val="%1"/>
      <w:numFmt w:val="lowerLetter"/>
      <w:start w:val="1"/>
    </w:lvl>
    <w:lvl w:ilvl="1">
      <w:lvlJc w:val="left"/>
      <w:lvlText w:val="(%2)"/>
      <w:numFmt w:val="lowerLetter"/>
      <w:start w:val="1"/>
    </w:lvl>
  </w:abstractNum>
  <w:abstractNum w:abstractNumId="115">
    <w:nsid w:val="2708C9AF"/>
    <w:multiLevelType w:val="hybridMultilevel"/>
    <w:lvl w:ilvl="0">
      <w:lvlJc w:val="left"/>
      <w:lvlText w:val="(%1)"/>
      <w:numFmt w:val="lowerLetter"/>
      <w:start w:val="35"/>
    </w:lvl>
    <w:lvl w:ilvl="1">
      <w:lvlJc w:val="left"/>
      <w:lvlText w:val="(%2)"/>
      <w:numFmt w:val="lowerLetter"/>
      <w:start w:val="2"/>
    </w:lvl>
  </w:abstractNum>
  <w:abstractNum w:abstractNumId="116">
    <w:nsid w:val="5B25ACE2"/>
    <w:multiLevelType w:val="hybridMultilevel"/>
    <w:lvl w:ilvl="0">
      <w:lvlJc w:val="left"/>
      <w:lvlText w:val="(%1)"/>
      <w:numFmt w:val="lowerLetter"/>
      <w:start w:val="5"/>
    </w:lvl>
  </w:abstractNum>
  <w:abstractNum w:abstractNumId="117">
    <w:nsid w:val="175DFCF0"/>
    <w:multiLevelType w:val="hybridMultilevel"/>
    <w:lvl w:ilvl="0">
      <w:lvlJc w:val="left"/>
      <w:lvlText w:val="(%1)"/>
      <w:numFmt w:val="lowerLetter"/>
      <w:start w:val="1"/>
    </w:lvl>
  </w:abstractNum>
  <w:abstractNum w:abstractNumId="118">
    <w:nsid w:val="4F97E3E4"/>
    <w:multiLevelType w:val="hybridMultilevel"/>
    <w:lvl w:ilvl="0">
      <w:lvlJc w:val="left"/>
      <w:lvlText w:val="(%1)"/>
      <w:numFmt w:val="lowerLetter"/>
      <w:start w:val="4"/>
    </w:lvl>
  </w:abstractNum>
  <w:abstractNum w:abstractNumId="119">
    <w:nsid w:val="53B0A9E"/>
    <w:multiLevelType w:val="hybridMultilevel"/>
    <w:lvl w:ilvl="0">
      <w:lvlJc w:val="left"/>
      <w:lvlText w:val="(%1)"/>
      <w:numFmt w:val="lowerLetter"/>
      <w:start w:val="1"/>
    </w:lvl>
  </w:abstractNum>
  <w:abstractNum w:abstractNumId="120">
    <w:nsid w:val="34FD6B4F"/>
    <w:multiLevelType w:val="hybridMultilevel"/>
    <w:lvl w:ilvl="0">
      <w:lvlJc w:val="left"/>
      <w:lvlText w:val="(%1)"/>
      <w:numFmt w:val="lowerLetter"/>
      <w:start w:val="1"/>
    </w:lvl>
  </w:abstractNum>
  <w:abstractNum w:abstractNumId="121">
    <w:nsid w:val="5915FF32"/>
    <w:multiLevelType w:val="hybridMultilevel"/>
    <w:lvl w:ilvl="0">
      <w:lvlJc w:val="left"/>
      <w:lvlText w:val="(%1)"/>
      <w:numFmt w:val="lowerLetter"/>
      <w:start w:val="1"/>
    </w:lvl>
  </w:abstractNum>
  <w:abstractNum w:abstractNumId="122">
    <w:nsid w:val="56438D15"/>
    <w:multiLevelType w:val="hybridMultilevel"/>
    <w:lvl w:ilvl="0">
      <w:lvlJc w:val="left"/>
      <w:lvlText w:val="%1."/>
      <w:numFmt w:val="decimal"/>
      <w:start w:val="1"/>
    </w:lvl>
    <w:lvl w:ilvl="1">
      <w:lvlJc w:val="left"/>
      <w:lvlText w:val="(%2)"/>
      <w:numFmt w:val="lowerLetter"/>
      <w:start w:val="1"/>
    </w:lvl>
  </w:abstractNum>
  <w:abstractNum w:abstractNumId="123">
    <w:nsid w:val="519E3149"/>
    <w:multiLevelType w:val="hybridMultilevel"/>
    <w:lvl w:ilvl="0">
      <w:lvlJc w:val="left"/>
      <w:lvlText w:val="%1."/>
      <w:numFmt w:val="decimal"/>
      <w:start w:val="1"/>
    </w:lvl>
  </w:abstractNum>
  <w:abstractNum w:abstractNumId="124">
    <w:nsid w:val="2C6E4AFD"/>
    <w:multiLevelType w:val="hybridMultilevel"/>
    <w:lvl w:ilvl="0">
      <w:lvlJc w:val="left"/>
      <w:lvlText w:val="%1."/>
      <w:numFmt w:val="decimal"/>
      <w:start w:val="1"/>
    </w:lvl>
  </w:abstractNum>
  <w:abstractNum w:abstractNumId="125">
    <w:nsid w:val="17A1B582"/>
    <w:multiLevelType w:val="hybridMultilevel"/>
    <w:lvl w:ilvl="0">
      <w:lvlJc w:val="left"/>
      <w:lvlText w:val="%1."/>
      <w:numFmt w:val="decimal"/>
      <w:start w:val="4"/>
    </w:lvl>
  </w:abstractNum>
  <w:abstractNum w:abstractNumId="126">
    <w:nsid w:val="4DF72E4E"/>
    <w:multiLevelType w:val="hybridMultilevel"/>
    <w:lvl w:ilvl="0">
      <w:lvlJc w:val="left"/>
      <w:lvlText w:val="%1."/>
      <w:numFmt w:val="decimal"/>
      <w:start w:val="1"/>
    </w:lvl>
    <w:lvl w:ilvl="1">
      <w:lvlJc w:val="left"/>
      <w:lvlText w:val="(%2)"/>
      <w:numFmt w:val="lowerLetter"/>
      <w:start w:val="1"/>
    </w:lvl>
  </w:abstractNum>
  <w:abstractNum w:abstractNumId="127">
    <w:nsid w:val="5046B5A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7" Type="http://schemas.openxmlformats.org/officeDocument/2006/relationships/image" Target="media/image3.jpeg"/><Relationship Id="rId18" Type="http://schemas.openxmlformats.org/officeDocument/2006/relationships/image" Target="media/image4.jpeg"/><Relationship Id="rId28" Type="http://schemas.openxmlformats.org/officeDocument/2006/relationships/image" Target="media/image5.png"/><Relationship Id="rId29" Type="http://schemas.openxmlformats.org/officeDocument/2006/relationships/image" Target="media/image6.png"/><Relationship Id="rId30" Type="http://schemas.openxmlformats.org/officeDocument/2006/relationships/image" Target="media/image7.png"/><Relationship Id="rId31" Type="http://schemas.openxmlformats.org/officeDocument/2006/relationships/image" Target="media/image8.png"/><Relationship Id="rId32" Type="http://schemas.openxmlformats.org/officeDocument/2006/relationships/image" Target="media/image9.png"/><Relationship Id="rId33" Type="http://schemas.openxmlformats.org/officeDocument/2006/relationships/image" Target="media/image10.png"/><Relationship Id="rId34" Type="http://schemas.openxmlformats.org/officeDocument/2006/relationships/image" Target="media/image11.png"/><Relationship Id="rId35"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image" Target="media/image21.pn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4.png"/><Relationship Id="rId48" Type="http://schemas.openxmlformats.org/officeDocument/2006/relationships/image" Target="media/image25.png"/><Relationship Id="rId49" Type="http://schemas.openxmlformats.org/officeDocument/2006/relationships/image" Target="media/image26.png"/><Relationship Id="rId50" Type="http://schemas.openxmlformats.org/officeDocument/2006/relationships/image" Target="media/image27.png"/><Relationship Id="rId51" Type="http://schemas.openxmlformats.org/officeDocument/2006/relationships/image" Target="media/image28.png"/><Relationship Id="rId52"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image" Target="media/image31.png"/><Relationship Id="rId55" Type="http://schemas.openxmlformats.org/officeDocument/2006/relationships/image" Target="media/image32.png"/><Relationship Id="rId56" Type="http://schemas.openxmlformats.org/officeDocument/2006/relationships/image" Target="media/image33.png"/><Relationship Id="rId57" Type="http://schemas.openxmlformats.org/officeDocument/2006/relationships/image" Target="media/image34.png"/><Relationship Id="rId58" Type="http://schemas.openxmlformats.org/officeDocument/2006/relationships/image" Target="media/image35.png"/><Relationship Id="rId59" Type="http://schemas.openxmlformats.org/officeDocument/2006/relationships/image" Target="media/image36.png"/><Relationship Id="rId60" Type="http://schemas.openxmlformats.org/officeDocument/2006/relationships/image" Target="media/image37.png"/><Relationship Id="rId61" Type="http://schemas.openxmlformats.org/officeDocument/2006/relationships/image" Target="media/image38.png"/><Relationship Id="rId62" Type="http://schemas.openxmlformats.org/officeDocument/2006/relationships/image" Target="media/image39.png"/><Relationship Id="rId63" Type="http://schemas.openxmlformats.org/officeDocument/2006/relationships/image" Target="media/image40.jpeg"/><Relationship Id="rId64" Type="http://schemas.openxmlformats.org/officeDocument/2006/relationships/image" Target="media/image41.jpeg"/><Relationship Id="rId65" Type="http://schemas.openxmlformats.org/officeDocument/2006/relationships/image" Target="media/image42.jpeg"/><Relationship Id="rId66" Type="http://schemas.openxmlformats.org/officeDocument/2006/relationships/image" Target="media/image43.jpeg"/><Relationship Id="rId67" Type="http://schemas.openxmlformats.org/officeDocument/2006/relationships/image" Target="media/image44.jpeg"/><Relationship Id="rId10" Type="http://schemas.openxmlformats.org/officeDocument/2006/relationships/hyperlink" Target="https://www.sec.gov/ix?doc=/Archives/edgar/data/1253689/000162828026011983/cbio-20251231.htm" TargetMode="External"/><Relationship Id="rId11" Type="http://schemas.openxmlformats.org/officeDocument/2006/relationships/hyperlink" Target="https://www.sec.gov/ix?doc=/Archives/edgar/data/1253689/000162828026028362/cbio-20260331.htm" TargetMode="External"/><Relationship Id="rId12" Type="http://schemas.openxmlformats.org/officeDocument/2006/relationships/hyperlink" Target="https://www.sec.gov/ix?doc=/Archives/edgar/data/0001253689/000162828026044713/cbio-20260331.htm" TargetMode="External"/><Relationship Id="rId13" Type="http://schemas.openxmlformats.org/officeDocument/2006/relationships/hyperlink" Target="https://www.sec.gov/ix?doc=/Archives/edgar/data/1253689/000162828026026282/cbio-20260421.htm" TargetMode="External"/><Relationship Id="rId14" Type="http://schemas.openxmlformats.org/officeDocument/2006/relationships/hyperlink" Target="https://www.sec.gov/ix?doc=/Archives/edgar/data/1253689/000162828026040051/cbio-20260602.htm" TargetMode="External"/><Relationship Id="rId15" Type="http://schemas.openxmlformats.org/officeDocument/2006/relationships/hyperlink" Target="https://www.sec.gov/Archives/edgar/data/1253689/000162828025049873/form8-aaxq32025.htm" TargetMode="External"/><Relationship Id="rId16" Type="http://schemas.openxmlformats.org/officeDocument/2006/relationships/hyperlink" Target="https://www.sec.gov/Archives/edgar/data/1253689/000162828026011983/ex43-cbioxdescriptionofsec.htm" TargetMode="External"/><Relationship Id="rId19" Type="http://schemas.openxmlformats.org/officeDocument/2006/relationships/hyperlink" Target="https://www.sec.gov/Archives/edgar/data/1253689/000110465924112054/tm2427013d1_ex2-1.htm" TargetMode="External"/><Relationship Id="rId20" Type="http://schemas.openxmlformats.org/officeDocument/2006/relationships/hyperlink" Target="https://www.sec.gov/Archives/edgar/data/1253689/000155837025001016/glyc-20250214xex10d1.htm" TargetMode="External"/><Relationship Id="rId21" Type="http://schemas.openxmlformats.org/officeDocument/2006/relationships/hyperlink" Target="https://www.sec.gov/Archives/edgar/data/1253689/000110465925040386/tm2513409d1_ex10-1.htm" TargetMode="External"/><Relationship Id="rId22" Type="http://schemas.openxmlformats.org/officeDocument/2006/relationships/hyperlink" Target="https://www.sec.gov/Archives/edgar/data/1253689/000110465925060714/tm2518203d1_ex2-4.htm" TargetMode="External"/><Relationship Id="rId23" Type="http://schemas.openxmlformats.org/officeDocument/2006/relationships/hyperlink" Target="https://www.sec.gov/Archives/edgar/data/1253689/000110465925060714/tm2518203d1_ex3-4.htm" TargetMode="External"/><Relationship Id="rId24" Type="http://schemas.openxmlformats.org/officeDocument/2006/relationships/hyperlink" Target="https://www.sec.gov/Archives/edgar/data/1253689/000110465925060714/tm2518203d1_ex3-6.htm" TargetMode="External"/><Relationship Id="rId25" Type="http://schemas.openxmlformats.org/officeDocument/2006/relationships/hyperlink" Target="https://www.sec.gov/Archives/edgar/data/1253689/000110465925032130/tm256615d4_ex4-3.htm" TargetMode="External"/><Relationship Id="rId26" Type="http://schemas.openxmlformats.org/officeDocument/2006/relationships/hyperlink" Target="https://www.sec.gov/Archives/edgar/data/1253689/000162828025055221/exhibit41-crescentx2025pip.htm" TargetMode="External"/><Relationship Id="rId27" Type="http://schemas.openxmlformats.org/officeDocument/2006/relationships/hyperlink" Target="https://www.sec.gov/Archives/edgar/data/1253689/000162828026011983/ex44-crescentxformofparas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2026-07-01T15:24:09Z</dcterms:created>
  <dcterms:modified xsi:type="dcterms:W3CDTF">2026-07-01T15:24:09Z</dcterms:modified>
</cp:coreProperties>
</file>