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333-292600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19,710,257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24130</wp:posOffset>
            </wp:positionV>
            <wp:extent cx="180848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Offered by the Selling Securityholders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62865</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54" w:lineRule="exact"/>
        <w:rPr>
          <w:sz w:val="24"/>
          <w:szCs w:val="24"/>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This prospectus relates to the proposed resale or other disposition by the selling securityholders identified herein (the “Selling Securityholders”) of up to (i) 13,664,251 (the “Private Placement Shares”) outstanding ordinary shares with a par value of US$0.001 per share (“Ordinary Shares”) issued pursuant to the Private Placement (as defined below), (ii) 131,434 Ordinary Shares (the “Private Placement Pre-Funded Warrant Shares”) issuable upon the exercise of pre-funded warrants (the “Private Placement Pre-Funded Warrants”) issued pursuant to the Private Placement and (iii) 1,387,866 outstanding Ordinary Shares (the “Fairmount Shares”), 1,636,706 Ordinary Shares (the “Fairmount Pre-Funded Warrant Shares”) issuable upon the exercise of pre-funded warrants (the “Fairmount Pre-Funded Warrants”), and 2,890,000 Ordinary Shares (the “Fairmount Series A Conversion Shares”) issuable upon the conversion of Series A non-voting convertible preferred shares (the “Fairmount Series A Shares”), in each case, held by Fairmount Healthcare Fund II L.P. as of immediately prior to the closing of the Private Placement. The Private Placement Shares, the Private Placement Pre-Funded Warrant Shares, the Fairmount Shares, the Fairmount Pre-Funded Warrant Shares and the Fairmount Series A Conversion Shares are referred to herein as the “Resale Shares.”</w:t>
      </w:r>
    </w:p>
    <w:p>
      <w:pPr>
        <w:spacing w:after="0" w:line="329"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The Private Placement Shares and Private Placement Pre-Funded Warrants were issued and sold to accredited investors in a private placement, which closed on December 8, 2025 (the “Private Placement”). The Fairmount Shares, Fairmount Pre-Funded Warrants and Fairmount Series A Shares were issued and sold to Fairmount prior to the closing of the Private Placement and were held by Fairmount as of immediately prior the closing of the Private Placement, and Fairmount is a Selling Securityholder hereunder. We are not selling any Resale Shares under this prospectus and will not receive any of the proceeds from the sale or other disposition of Resale Shares by the Selling Securityholders. Upon any exercise of the Private Placement Pre-Funded Warrants or the Fairmount Pre-Funded Warrants by payment of cash, however, we will receive the nominal cash exercise price paid by the holders thereof. We intend to use those proceeds, if any, for general corporate purposes.</w:t>
      </w:r>
    </w:p>
    <w:p>
      <w:pPr>
        <w:spacing w:after="0" w:line="127" w:lineRule="exact"/>
        <w:rPr>
          <w:sz w:val="24"/>
          <w:szCs w:val="24"/>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 Selling Securityholders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Securityholders may sell or otherwise dispose of their Resale Shares hereunder.</w:t>
      </w:r>
    </w:p>
    <w:p>
      <w:pPr>
        <w:spacing w:after="0" w:line="126" w:lineRule="exact"/>
        <w:rPr>
          <w:sz w:val="24"/>
          <w:szCs w:val="24"/>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 Selling Securityholders may sell any, all or none of the securities offered by this prospectus and we do not know when or in what amount the Selling Securityholders may sell their Resale Shares hereunder following the effective date of the registration statement of which this prospectus forms a part. Discounts, concessions, commissions and similar selling expenses attributable to the sale of the Resale Shares will be borne by the Selling Securityholders. We will pay certain fees and expenses (other than discounts, concessions, commissions and similar selling expenses) incident to the registration of the Resale Shares with the U.S. Securities and Exchange Commission (“SEC”).</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You should carefully read this prospectus and any applicable prospectus supplement before you invest in any of the securities being offered.</w:t>
      </w:r>
    </w:p>
    <w:p>
      <w:pPr>
        <w:spacing w:after="0" w:line="181" w:lineRule="exact"/>
        <w:rPr>
          <w:sz w:val="24"/>
          <w:szCs w:val="24"/>
          <w:color w:val="auto"/>
        </w:rPr>
      </w:pPr>
    </w:p>
    <w:p>
      <w:pPr>
        <w:ind w:right="420"/>
        <w:spacing w:after="0" w:line="280" w:lineRule="auto"/>
        <w:rPr>
          <w:sz w:val="20"/>
          <w:szCs w:val="20"/>
          <w:color w:val="auto"/>
        </w:rPr>
      </w:pPr>
      <w:r>
        <w:rPr>
          <w:rFonts w:ascii="Times New Roman" w:cs="Times New Roman" w:eastAsia="Times New Roman" w:hAnsi="Times New Roman"/>
          <w:sz w:val="16"/>
          <w:szCs w:val="16"/>
          <w:color w:val="auto"/>
        </w:rPr>
        <w:t>Our Ordinary Shares are traded on The Nasdaq Capital Market under the symbol “CBIO.” On January 6, 2026, the last reported sale price for our Ordinary Shares was $11.07 per share.</w:t>
      </w:r>
    </w:p>
    <w:p>
      <w:pPr>
        <w:spacing w:after="0" w:line="109" w:lineRule="exact"/>
        <w:rPr>
          <w:sz w:val="24"/>
          <w:szCs w:val="24"/>
          <w:color w:val="auto"/>
        </w:rPr>
      </w:pPr>
    </w:p>
    <w:p>
      <w:pPr>
        <w:ind w:right="100"/>
        <w:spacing w:after="0" w:line="301" w:lineRule="auto"/>
        <w:rPr>
          <w:sz w:val="20"/>
          <w:szCs w:val="20"/>
          <w:color w:val="auto"/>
        </w:rPr>
      </w:pPr>
      <w:r>
        <w:rPr>
          <w:rFonts w:ascii="Times New Roman" w:cs="Times New Roman" w:eastAsia="Times New Roman" w:hAnsi="Times New Roman"/>
          <w:sz w:val="16"/>
          <w:szCs w:val="16"/>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FF"/>
        </w:rPr>
        <w:t>9</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b w:val="1"/>
          <w:bCs w:val="1"/>
          <w:color w:val="000000"/>
        </w:rPr>
        <w:t>of this prospectus and any applicable prospectus supplement.</w:t>
      </w:r>
    </w:p>
    <w:p>
      <w:pPr>
        <w:spacing w:after="0" w:line="92" w:lineRule="exact"/>
        <w:rPr>
          <w:sz w:val="24"/>
          <w:szCs w:val="24"/>
          <w:color w:val="auto"/>
        </w:rPr>
      </w:pPr>
    </w:p>
    <w:p>
      <w:pPr>
        <w:ind w:right="60"/>
        <w:spacing w:after="0" w:line="301" w:lineRule="auto"/>
        <w:rPr>
          <w:sz w:val="20"/>
          <w:szCs w:val="20"/>
          <w:color w:val="auto"/>
        </w:rPr>
      </w:pPr>
      <w:r>
        <w:rPr>
          <w:rFonts w:ascii="Times New Roman" w:cs="Times New Roman" w:eastAsia="Times New Roman" w:hAnsi="Times New Roman"/>
          <w:sz w:val="16"/>
          <w:szCs w:val="16"/>
          <w:b w:val="1"/>
          <w:bCs w:val="1"/>
          <w:color w:val="auto"/>
        </w:rPr>
        <w:t>We are a “smaller reporting company” as defined under the U.S. federal securities laws and, as such, have elected to comply with certain reduced public company reporting requirements.</w:t>
      </w:r>
    </w:p>
    <w:p>
      <w:pPr>
        <w:spacing w:after="0" w:line="92" w:lineRule="exact"/>
        <w:rPr>
          <w:sz w:val="24"/>
          <w:szCs w:val="24"/>
          <w:color w:val="auto"/>
        </w:rPr>
      </w:pPr>
    </w:p>
    <w:p>
      <w:pPr>
        <w:ind w:right="220"/>
        <w:spacing w:after="0" w:line="28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have approved or disapproved these securities, or passed upon the accuracy or adequacy of this prospectus. Any representation to the contrary is a criminal offense.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date of this prospectus is January 15, 2026</w:t>
      </w:r>
    </w:p>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42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20" w:type="dxa"/>
            <w:vAlign w:val="bottom"/>
            <w:tcBorders>
              <w:bottom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99"/>
              </w:rPr>
              <w:t>ii</w:t>
            </w:r>
          </w:p>
        </w:tc>
        <w:tc>
          <w:tcPr>
            <w:tcW w:w="60" w:type="dxa"/>
            <w:vAlign w:val="bottom"/>
            <w:gridSpan w:val="2"/>
          </w:tcPr>
          <w:p>
            <w:pPr>
              <w:spacing w:after="0"/>
              <w:rPr>
                <w:sz w:val="24"/>
                <w:szCs w:val="24"/>
                <w:color w:val="auto"/>
              </w:rPr>
            </w:pPr>
          </w:p>
        </w:tc>
      </w:tr>
      <w:tr>
        <w:trPr>
          <w:trHeight w:val="209"/>
        </w:trPr>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3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0000FF"/>
                <w:w w:val="92"/>
              </w:rPr>
              <w:t>iii</w:t>
            </w:r>
          </w:p>
        </w:tc>
      </w:tr>
      <w:tr>
        <w:trPr>
          <w:trHeight w:val="209"/>
        </w:trPr>
        <w:tc>
          <w:tcPr>
            <w:tcW w:w="21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3240" w:type="dxa"/>
            <w:vAlign w:val="bottom"/>
            <w:tcBorders>
              <w:top w:val="single" w:sz="8" w:color="0000FF"/>
            </w:tcBorders>
            <w:gridSpan w:val="10"/>
          </w:tcPr>
          <w:p>
            <w:pPr>
              <w:spacing w:after="0"/>
              <w:rPr>
                <w:sz w:val="18"/>
                <w:szCs w:val="18"/>
                <w:color w:val="auto"/>
              </w:rPr>
            </w:pPr>
          </w:p>
        </w:tc>
        <w:tc>
          <w:tcPr>
            <w:tcW w:w="532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400" w:type="dxa"/>
            <w:vAlign w:val="bottom"/>
            <w:gridSpan w:val="18"/>
          </w:tcPr>
          <w:p>
            <w:pPr>
              <w:spacing w:after="0"/>
              <w:rPr>
                <w:sz w:val="18"/>
                <w:szCs w:val="18"/>
                <w:color w:val="auto"/>
              </w:rPr>
            </w:pPr>
          </w:p>
        </w:tc>
        <w:tc>
          <w:tcPr>
            <w:tcW w:w="80" w:type="dxa"/>
            <w:vAlign w:val="bottom"/>
            <w:gridSpan w:val="3"/>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9060" w:type="dxa"/>
            <w:vAlign w:val="bottom"/>
            <w:gridSpan w:val="14"/>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40" w:type="dxa"/>
            <w:vAlign w:val="bottom"/>
          </w:tcPr>
          <w:p>
            <w:pPr>
              <w:spacing w:after="0"/>
              <w:rPr>
                <w:sz w:val="18"/>
                <w:szCs w:val="18"/>
                <w:color w:val="auto"/>
              </w:rPr>
            </w:pPr>
          </w:p>
        </w:tc>
      </w:tr>
      <w:tr>
        <w:trPr>
          <w:trHeight w:val="209"/>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2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c>
          <w:tcPr>
            <w:tcW w:w="4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INDUSTRY AND MARKET DATA</w:t>
            </w:r>
          </w:p>
        </w:tc>
        <w:tc>
          <w:tcPr>
            <w:tcW w:w="8000" w:type="dxa"/>
            <w:vAlign w:val="bottom"/>
            <w:gridSpan w:val="8"/>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40" w:type="dxa"/>
            <w:vAlign w:val="bottom"/>
          </w:tcPr>
          <w:p>
            <w:pPr>
              <w:spacing w:after="0"/>
              <w:rPr>
                <w:sz w:val="18"/>
                <w:szCs w:val="18"/>
                <w:color w:val="auto"/>
              </w:rPr>
            </w:pPr>
          </w:p>
        </w:tc>
      </w:tr>
      <w:tr>
        <w:trPr>
          <w:trHeight w:val="209"/>
        </w:trPr>
        <w:tc>
          <w:tcPr>
            <w:tcW w:w="89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60</w:t>
            </w:r>
          </w:p>
        </w:tc>
        <w:tc>
          <w:tcPr>
            <w:tcW w:w="40" w:type="dxa"/>
            <w:vAlign w:val="bottom"/>
          </w:tcPr>
          <w:p>
            <w:pPr>
              <w:spacing w:after="0"/>
              <w:rPr>
                <w:sz w:val="18"/>
                <w:szCs w:val="18"/>
                <w:color w:val="auto"/>
              </w:rPr>
            </w:pPr>
          </w:p>
        </w:tc>
      </w:tr>
      <w:tr>
        <w:trPr>
          <w:trHeight w:val="210"/>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800" w:type="dxa"/>
            <w:vAlign w:val="bottom"/>
            <w:gridSpan w:val="19"/>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40" w:type="dxa"/>
            <w:vAlign w:val="bottom"/>
          </w:tcPr>
          <w:p>
            <w:pPr>
              <w:spacing w:after="0"/>
              <w:rPr>
                <w:sz w:val="18"/>
                <w:szCs w:val="18"/>
                <w:color w:val="auto"/>
              </w:rPr>
            </w:pPr>
          </w:p>
        </w:tc>
      </w:tr>
      <w:tr>
        <w:trPr>
          <w:trHeight w:val="209"/>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137</w:t>
            </w:r>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r>
      <w:tr>
        <w:trPr>
          <w:trHeight w:val="209"/>
        </w:trPr>
        <w:tc>
          <w:tcPr>
            <w:tcW w:w="3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6820" w:type="dxa"/>
            <w:vAlign w:val="bottom"/>
            <w:gridSpan w:val="5"/>
          </w:tcPr>
          <w:p>
            <w:pPr>
              <w:spacing w:after="0"/>
              <w:rPr>
                <w:sz w:val="18"/>
                <w:szCs w:val="18"/>
                <w:color w:val="auto"/>
              </w:rPr>
            </w:pPr>
          </w:p>
        </w:tc>
        <w:tc>
          <w:tcPr>
            <w:tcW w:w="26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145</w:t>
            </w:r>
          </w:p>
        </w:tc>
      </w:tr>
      <w:tr>
        <w:trPr>
          <w:trHeight w:val="210"/>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152</w:t>
            </w:r>
          </w:p>
        </w:tc>
      </w:tr>
      <w:tr>
        <w:trPr>
          <w:trHeight w:val="209"/>
        </w:trPr>
        <w:tc>
          <w:tcPr>
            <w:tcW w:w="48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SHAREHOLDERS</w:t>
            </w:r>
          </w:p>
        </w:tc>
        <w:tc>
          <w:tcPr>
            <w:tcW w:w="5800" w:type="dxa"/>
            <w:vAlign w:val="bottom"/>
            <w:gridSpan w:val="3"/>
          </w:tcPr>
          <w:p>
            <w:pPr>
              <w:spacing w:after="0"/>
              <w:rPr>
                <w:sz w:val="18"/>
                <w:szCs w:val="18"/>
                <w:color w:val="auto"/>
              </w:rPr>
            </w:pPr>
          </w:p>
        </w:tc>
        <w:tc>
          <w:tcPr>
            <w:tcW w:w="260" w:type="dxa"/>
            <w:vAlign w:val="bottom"/>
            <w:tcBorders>
              <w:top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156</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r>
      <w:tr>
        <w:trPr>
          <w:trHeight w:val="210"/>
        </w:trPr>
        <w:tc>
          <w:tcPr>
            <w:tcW w:w="2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DESCRIPTION OF SHARE CAPITAL</w:t>
            </w:r>
          </w:p>
        </w:tc>
        <w:tc>
          <w:tcPr>
            <w:tcW w:w="7780" w:type="dxa"/>
            <w:vAlign w:val="bottom"/>
            <w:gridSpan w:val="7"/>
          </w:tcPr>
          <w:p>
            <w:pPr>
              <w:spacing w:after="0"/>
              <w:rPr>
                <w:sz w:val="18"/>
                <w:szCs w:val="18"/>
                <w:color w:val="auto"/>
              </w:rPr>
            </w:pPr>
          </w:p>
        </w:tc>
        <w:tc>
          <w:tcPr>
            <w:tcW w:w="26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159</w:t>
            </w:r>
          </w:p>
        </w:tc>
      </w:tr>
      <w:tr>
        <w:trPr>
          <w:trHeight w:val="209"/>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SELLING SECURITYHOLDERS</w:t>
            </w:r>
          </w:p>
        </w:tc>
        <w:tc>
          <w:tcPr>
            <w:tcW w:w="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166</w:t>
            </w:r>
          </w:p>
        </w:tc>
      </w:tr>
      <w:tr>
        <w:trPr>
          <w:trHeight w:val="209"/>
        </w:trPr>
        <w:tc>
          <w:tcPr>
            <w:tcW w:w="20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440" w:type="dxa"/>
            <w:vAlign w:val="bottom"/>
            <w:tcBorders>
              <w:top w:val="single" w:sz="8" w:color="0000FF"/>
            </w:tcBorders>
            <w:gridSpan w:val="4"/>
          </w:tcPr>
          <w:p>
            <w:pPr>
              <w:spacing w:after="0"/>
              <w:rPr>
                <w:sz w:val="18"/>
                <w:szCs w:val="18"/>
                <w:color w:val="auto"/>
              </w:rPr>
            </w:pPr>
          </w:p>
        </w:tc>
        <w:tc>
          <w:tcPr>
            <w:tcW w:w="8160" w:type="dxa"/>
            <w:vAlign w:val="bottom"/>
            <w:gridSpan w:val="9"/>
          </w:tcPr>
          <w:p>
            <w:pPr>
              <w:spacing w:after="0"/>
              <w:rPr>
                <w:sz w:val="18"/>
                <w:szCs w:val="18"/>
                <w:color w:val="auto"/>
              </w:rPr>
            </w:pPr>
          </w:p>
        </w:tc>
        <w:tc>
          <w:tcPr>
            <w:tcW w:w="260" w:type="dxa"/>
            <w:vAlign w:val="bottom"/>
            <w:tcBorders>
              <w:top w:val="single" w:sz="8" w:color="0000FF"/>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171</w:t>
            </w:r>
          </w:p>
        </w:tc>
      </w:tr>
      <w:tr>
        <w:trPr>
          <w:trHeight w:val="210"/>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173</w:t>
            </w: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9200" w:type="dxa"/>
            <w:vAlign w:val="bottom"/>
            <w:gridSpan w:val="16"/>
          </w:tcPr>
          <w:p>
            <w:pPr>
              <w:spacing w:after="0"/>
              <w:rPr>
                <w:sz w:val="18"/>
                <w:szCs w:val="18"/>
                <w:color w:val="auto"/>
              </w:rPr>
            </w:pPr>
          </w:p>
        </w:tc>
        <w:tc>
          <w:tcPr>
            <w:tcW w:w="260" w:type="dxa"/>
            <w:vAlign w:val="bottom"/>
            <w:tcBorders>
              <w:top w:val="single" w:sz="8" w:color="0000FF"/>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173</w:t>
            </w:r>
          </w:p>
        </w:tc>
      </w:tr>
      <w:tr>
        <w:trPr>
          <w:trHeight w:val="209"/>
        </w:trPr>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840" w:type="dxa"/>
            <w:vAlign w:val="bottom"/>
            <w:gridSpan w:val="6"/>
          </w:tcPr>
          <w:p>
            <w:pPr>
              <w:spacing w:after="0"/>
              <w:rPr>
                <w:sz w:val="18"/>
                <w:szCs w:val="18"/>
                <w:color w:val="auto"/>
              </w:rPr>
            </w:pPr>
          </w:p>
        </w:tc>
        <w:tc>
          <w:tcPr>
            <w:tcW w:w="26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6"/>
              </w:rPr>
              <w:t>173</w:t>
            </w:r>
          </w:p>
        </w:tc>
      </w:tr>
      <w:tr>
        <w:trPr>
          <w:trHeight w:val="210"/>
        </w:trPr>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6200" w:type="dxa"/>
            <w:vAlign w:val="bottom"/>
            <w:gridSpan w:val="4"/>
          </w:tcPr>
          <w:p>
            <w:pPr>
              <w:spacing w:after="0"/>
              <w:rPr>
                <w:sz w:val="18"/>
                <w:szCs w:val="18"/>
                <w:color w:val="auto"/>
              </w:rPr>
            </w:pPr>
          </w:p>
        </w:tc>
        <w:tc>
          <w:tcPr>
            <w:tcW w:w="26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20"/>
          </w:cols>
          <w:pgMar w:left="340" w:top="1440" w:right="6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Selling Securityholders may, from time to time, sell the securities described in this prospectus in one or more offerings.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information that you should consider when making your investment decision. Neither we, nor the Selling Securityholders, have authorized anyone to give any information or to make any representation other than those contained in this prospectus. The Selling Securityholders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1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“Crescent,” the “Company,” “we,” “us,” and “our” refer to Crescent Biopharma, Inc., a corporation formed under the laws of the Cayman Islands, and its consolidated subsidiaries.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prospectus contains trade names, trademarks and service marks of others, which are the property of their respective owners. Solely for convenience, trademarks and trade names referred to in this prospectus may appear without the ® or ™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1440" w:right="359" w:bottom="1440" w:gutter="0" w:footer="0" w:header="0"/>
        </w:sectPr>
      </w:pPr>
    </w:p>
    <w:bookmarkStart w:id="3" w:name="page4"/>
    <w:bookmarkEnd w:id="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including, without limitation, statements regarding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and the receipt and timing of potential regulatory designations, approvals and commercialization of product candidates, are forward-looking statements. Forward-looking statements generally relate to future events or our future financial or operating performance.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are disclosed in the sections titled “Risk Factors” and “Management’s Discussion and Analysis of Financial Condition and Results of Operations.”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80"/>
          </w:cols>
          <w:pgMar w:left="320" w:top="1440" w:right="3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56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55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summary may not contain all the information that you should consider before investing in securities. You should read the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CR-001, which we refer to as a PD-1 x VEGF bispecific antibody because it is designed to bind both the PD-1 immune checkpoint (“PD-1”) and Vascular Endothelial Growth Factor (“VEGF”), which has potential to replace pembrolizumab, marketed by Merck as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We anticipate initiation of CR-001, CR-002 and CR-003 monotherapy clinical trials in 2026 as well as the first ADC combination trial with CR-001.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1020" w:right="260"/>
        <w:spacing w:after="0" w:line="284" w:lineRule="auto"/>
        <w:rPr>
          <w:sz w:val="20"/>
          <w:szCs w:val="20"/>
          <w:color w:val="auto"/>
        </w:rPr>
      </w:pPr>
      <w:r>
        <w:rPr>
          <w:rFonts w:ascii="Times New Roman" w:cs="Times New Roman" w:eastAsia="Times New Roman" w:hAnsi="Times New Roman"/>
          <w:sz w:val="18"/>
          <w:szCs w:val="18"/>
          <w:i w:val="1"/>
          <w:iCs w:val="1"/>
          <w:color w:val="auto"/>
        </w:rPr>
        <w:t>Figure 1. Our vision is to create a world-leading oncology company developing products that can be used as monotherapies or in combination</w:t>
      </w:r>
    </w:p>
    <w:p>
      <w:pPr>
        <w:spacing w:after="0" w:line="10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Immune checkpoint inhibitors have revolutionized the treatment landscape for various solid tumors by reactivating the body’s immune system to target and destroy cancer cells. These inhibitors, which are antibodies against targets such as CTLA-4 and PD-1/PD-L1, have shown unprecedented anti-tumor activity, and have become standard-of-care treatments for more than 40 malignancies, including melanoma, non-small cell lung cancer (“NSCLC”) and microsatellite instability-high tumors. These inhibitors have led to significant clinical outcomes, with notable improvements in survival rates and durable responses in patients who previously had limited treatment options. These products have also been successful commercially with worldwide annual sales estimated to be in excess of $50 billion, over half of which are driven by sales of Keytruda.</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immune checkpoint inhibitors are highly effective in some indications, many patients with solid tumors fail to respond to these therapies. Furthermore, patients who do respond do not always achieve long-lasting benefit. There have been broad efforts by the pharmaceutical industry to identify immuno-oncology products able to address this unmet clinical need. Ivonescimab, a PD-1 x VEGF bispecific antibody in development by Akeso Biopharma and Summit Therapeutics Inc., is the first drug candidate to demonstrate significantly improved progression free survival (“PFS”) compared to Keytruda. In the HARMONi-2 trial, a randomized, double-blind, head-to-head Phase 3 clinical trial in naïve, or not previously treated, advanced and metastatic NSCLC, the median PFS with ivonescimab was 11.1 months compared to 5.8 months with Keytruda.</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80"/>
          </w:cols>
          <w:pgMar w:left="1000" w:top="1440" w:right="10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CR-001 is a new molecular entity designed to replicate the functional properties of ivonescimab. Through its ability to bind both PD-1 and VEGF, CR-001 has been shown to have cooperative binding and increased activity of cytotoxic T cell activation. These effects are similar to that observed with ivonescimab in the presence of these ligands which are commonly found in many tumors. We believe the emerging data from the clinical development of ivonescimab supports the rationale for developing CR-001 in light of CR-001 and ivonescimab sharing the same mechanism of action. We do not have any clinical data regarding cancer patients that have been treated with CR-001 and there can be no assurance that clinical trials of CR-001, which have not yet commenced and are expected to cover a broader set of indications than in HARMONi-2, will have similar or comparable results.</w:t>
      </w:r>
    </w:p>
    <w:p>
      <w:pPr>
        <w:spacing w:after="0" w:line="13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believe that CR-001 has the potential to deliver improved clinical efficacy and safety over Keytruda, which is the best-selling drug in the world and is approved for the treatment of numerous cancers. Following the precedents set by traditional PD-1 inhibitors, such as Keytruda and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plan to seek regulatory approvals for CR-001 to treat multiple solid tumor indications utilizing monotherapies and combination treatment options. We intend to initiate a Phase 1/2 trial of CR-001 in NSCLC and other solid tumors in the first quarter of 2026.</w:t>
      </w:r>
    </w:p>
    <w:p>
      <w:pPr>
        <w:spacing w:after="0" w:line="1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CR-002 is an ADC that delivers a topoisomerase toxin to cancer cells that express Programmed Death-Ligand 1 (“PD-L1”), a cell surface protein that suppresses T-cell activation. PD-L1 expression is elevated in numerous solid tumors compared to normal tissues, making it an attractive ADC target. CR-002 is differentiated from other ADCs through multiple properties. First, a critical feature of CR-002 is that it is more efficiently internalized into cancer cells than comparable ADCs. Second, the chemical linkage to its toxin is designed to be stable until it is internalized. Third, the cytotoxic payload is a topoisomerase inhibitor which has been shown to have higher antitumor activity and increased tolerability when incorporated into other ADCs as compared to microtubule inhibitors. We believe that CR-002 has the potential to have improved anti-tumor activity and tolerability compared to other PD-L1 directed ADCs. We intend to initiate a Phase 1/2 trial of CR-002 in the second half of 2026.</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recently announced a partnership with Sichuan Kelun-Biotech Biopharmaceutical Co., Ltd. (“Kelun”), a leading Chinese biotech company with commercially approved ADCs, to acquire exclusive rights to SKB105 (also referred to as CR-003), an integrin beta-6 (“ITGB6”) directed ADC, outside of mainland China, Hong Kong, Macau, and Taiwan (collectively, “Greater China”). ITGB6 is overexpressed in many solid tumors and its high expression correlates with tumor size, vascular invasion, metastatic potential, disease recurrence and worse prognosis. We intend to develop SKB105 as CR-003, a product designation which previously referred to a preclinical ADC asset under the Paragon option agreement. ITGB6 is a target with emerging clinical data generated by third party ADCs. We believe that CR-003 has the potential to deliver potent antitumor activity based on its improved potency and half-life in preclinical models. A Phase 1/2 trial of CR-003 is anticipated to be initiated in the first quarter of 2026 in China.</w:t>
      </w:r>
    </w:p>
    <w:p>
      <w:pPr>
        <w:spacing w:after="0" w:line="13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Combinations of immune checkpoint inhibitors and ADCs with a topoisomerase payload are a growing area of interest as third party results have demonstrated improvements in PFS. In the ASCENT-04 trial, sacituzumab govitecan, marketed as Trodelvy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Gilead Sciences, in combination with pembrolizumab led to a statistically significant and clinically meaningful improvement in PFS versus chemotherapy plus pembrolizumab with durable responses, no new safety concerns and a lower rate of treatment discontinuation due to treatment-emergent adverse events (“TEAEs”) in patients with previously untreated, PD-L1–positive advanced triple negative breast cancer (“TNBC”).</w:t>
      </w:r>
    </w:p>
    <w:p>
      <w:pPr>
        <w:spacing w:after="0" w:line="1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potential to combine CR-001 with ADCs is a key element of our partnership with Kelun. As part of our agreement, we granted Kelun exclusive rights to CR-001 in Greater China. With this partnership we can mutually advance CR-001 and CR-003 globally. Both companies have the ability to develop both of these molecules as monotherapies or in combinations with other therapies, including ADCs. We anticipate that clinical results generated by Kelun evaluating CR-001 in combination with their full suite of ADCs will inform and accelerate the development of both CR-001 and our own ADC pipeline in the rest of the world. This partnership enables parallel generation of clinical data for CR-001 in both Western and Chinese patients limiting the need for translate effects across populations. We anticipate initiating the first CR-001 ADC combination trial in the second half of 2026.</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5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 w:right="140"/>
        <w:spacing w:after="0" w:line="266" w:lineRule="auto"/>
        <w:rPr>
          <w:sz w:val="20"/>
          <w:szCs w:val="20"/>
          <w:color w:val="auto"/>
        </w:rPr>
      </w:pPr>
      <w:r>
        <w:rPr>
          <w:rFonts w:ascii="Times New Roman" w:cs="Times New Roman" w:eastAsia="Times New Roman" w:hAnsi="Times New Roman"/>
          <w:sz w:val="18"/>
          <w:szCs w:val="18"/>
          <w:color w:val="auto"/>
        </w:rPr>
        <w:t>We envision multiple opportunities to establish and maintain market leadership in oncology through careful selection of ADC products based on targets and payloads. We plan to continue to expand our product portfolio through a combination of internal development, our relationship with Paragon and external sources.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left="6" w:right="100"/>
        <w:spacing w:after="0" w:line="282" w:lineRule="auto"/>
        <w:rPr>
          <w:sz w:val="20"/>
          <w:szCs w:val="20"/>
          <w:color w:val="auto"/>
        </w:rPr>
      </w:pPr>
      <w:r>
        <w:rPr>
          <w:rFonts w:ascii="Times New Roman" w:cs="Times New Roman" w:eastAsia="Times New Roman" w:hAnsi="Times New Roman"/>
          <w:sz w:val="18"/>
          <w:szCs w:val="18"/>
          <w:color w:val="auto"/>
        </w:rPr>
        <w:t>We are focused on delivering the next wave of transformative therapies to bring a brighter future for people living with cancer. We have a bold vision to build the next leading biotechnology company. Our strategy is to:</w:t>
      </w:r>
    </w:p>
    <w:p>
      <w:pPr>
        <w:spacing w:after="0" w:line="108" w:lineRule="exact"/>
        <w:rPr>
          <w:sz w:val="20"/>
          <w:szCs w:val="20"/>
          <w:color w:val="auto"/>
        </w:rPr>
      </w:pPr>
    </w:p>
    <w:p>
      <w:pPr>
        <w:ind w:left="326" w:hanging="326"/>
        <w:spacing w:after="0"/>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clinical proof-of-concept data with CR-001 in a Phase 1/2 trial.</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CR-001 in multiple indications.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ADC programs into clinical development.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CR-001 as a backbone therapy used in combination with ADCs.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portfolio of product candidates.</w:t>
      </w:r>
    </w:p>
    <w:p>
      <w:pPr>
        <w:spacing w:after="0" w:line="167" w:lineRule="exact"/>
        <w:rPr>
          <w:sz w:val="20"/>
          <w:szCs w:val="20"/>
          <w:color w:val="auto"/>
        </w:rPr>
      </w:pPr>
    </w:p>
    <w:p>
      <w:pPr>
        <w:ind w:left="6" w:right="160"/>
        <w:spacing w:after="0" w:line="286" w:lineRule="auto"/>
        <w:rPr>
          <w:sz w:val="20"/>
          <w:szCs w:val="20"/>
          <w:color w:val="auto"/>
        </w:rPr>
      </w:pPr>
      <w:r>
        <w:rPr>
          <w:rFonts w:ascii="Times New Roman" w:cs="Times New Roman" w:eastAsia="Times New Roman" w:hAnsi="Times New Roman"/>
          <w:sz w:val="18"/>
          <w:szCs w:val="18"/>
          <w:b w:val="1"/>
          <w:bCs w:val="1"/>
          <w:color w:val="auto"/>
        </w:rPr>
        <w:t>Private Placement of Ordinary Shares and Pre-Funded Warrants &amp; Issuance of Ordinary Shares and Pre-Funded Warrants to Fairmount</w:t>
      </w:r>
    </w:p>
    <w:p>
      <w:pPr>
        <w:spacing w:after="0" w:line="105"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8"/>
          <w:szCs w:val="18"/>
          <w:color w:val="auto"/>
        </w:rPr>
        <w:t>On December 8, 2025, we completed the Private Placement of our Private Placement Shares and Private Placement Pre-Funded Warrants pursuant to the Securities Purchase Agreement dated December 4, 2025 (the “SPA”) with the Selling Securityholders. The Selling Securityholders purchased (i) an aggregate of 13,664,251 Private Placement Shares at a price per share of $13.41 and (ii) Private Placement Pre-Funded Warrants to purchase an aggregate of 131,434 Ordinary Shares at a purchase price of $13.409 per Private Placement Pre-Funded Warrant, which represents the per share purchase price of the Private Placement Shares less the $0.001 exercise price for each Private Placement Pre-Funded Warrant Share, for an aggregate purchase price of approximately $185.0 million.</w:t>
      </w:r>
    </w:p>
    <w:p>
      <w:pPr>
        <w:spacing w:after="0" w:line="133" w:lineRule="exact"/>
        <w:rPr>
          <w:sz w:val="20"/>
          <w:szCs w:val="20"/>
          <w:color w:val="auto"/>
        </w:rPr>
      </w:pPr>
    </w:p>
    <w:p>
      <w:pPr>
        <w:ind w:left="6" w:right="40"/>
        <w:spacing w:after="0" w:line="261" w:lineRule="auto"/>
        <w:rPr>
          <w:sz w:val="20"/>
          <w:szCs w:val="20"/>
          <w:color w:val="auto"/>
        </w:rPr>
      </w:pPr>
      <w:r>
        <w:rPr>
          <w:rFonts w:ascii="Times New Roman" w:cs="Times New Roman" w:eastAsia="Times New Roman" w:hAnsi="Times New Roman"/>
          <w:sz w:val="18"/>
          <w:szCs w:val="18"/>
          <w:color w:val="auto"/>
        </w:rPr>
        <w:t>In addition, prior to the closing of the Private Placement, we previously issued and sold to Fairmount, and, as of immediately prior to the closing of the Private Placement, Fairmount held, (i) 1,387,866 outstanding Fairmount Shares, (ii) Fairmount Pre-Funded Warrants to purchase 1,636,706 Ordinary Shares with an exercise price of $0.001 per Fairmount Pre-Funded Warrant Share, and (iii) Fairmount Series A Shares convertible into 2,890,000 Ordinary Shares.</w:t>
      </w:r>
    </w:p>
    <w:p>
      <w:pPr>
        <w:spacing w:after="0" w:line="126" w:lineRule="exact"/>
        <w:rPr>
          <w:sz w:val="20"/>
          <w:szCs w:val="20"/>
          <w:color w:val="auto"/>
        </w:rPr>
      </w:pPr>
    </w:p>
    <w:p>
      <w:pPr>
        <w:ind w:left="6" w:right="100"/>
        <w:spacing w:after="0" w:line="282" w:lineRule="auto"/>
        <w:rPr>
          <w:sz w:val="20"/>
          <w:szCs w:val="20"/>
          <w:color w:val="auto"/>
        </w:rPr>
      </w:pPr>
      <w:r>
        <w:rPr>
          <w:rFonts w:ascii="Times New Roman" w:cs="Times New Roman" w:eastAsia="Times New Roman" w:hAnsi="Times New Roman"/>
          <w:sz w:val="18"/>
          <w:szCs w:val="18"/>
          <w:color w:val="auto"/>
        </w:rPr>
        <w:t>The sales of Private Placement Shares, Private Placement Pre-Funded Warrants, Fairmount Shares, Fairmount Pre-Funded Warrants and the Fairmount Series A Shares were not registered under the Securities Act, and such sales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86"/>
          </w:cols>
          <w:pgMar w:left="994" w:top="1440" w:right="101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82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were intended to be exempt from registration pursuant to Section 4(a)(2) of the Securities Act as transactions by an issuer not involving a public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 Associated with Our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summarizes the principal factors that make an investment in us speculative or risky, all of which are more fully described in the Risk Factors section below.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prospectus and those we may make from time to time. In such case, the trading price of our ordinary shares would likely decline, and you may lose all or part of your investment. You should consider all the risk factors described in this prospectus when evaluating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Capital Requirements</w:t>
      </w:r>
    </w:p>
    <w:p>
      <w:pPr>
        <w:spacing w:after="0" w:line="175" w:lineRule="exact"/>
        <w:rPr>
          <w:sz w:val="20"/>
          <w:szCs w:val="20"/>
          <w:color w:val="auto"/>
        </w:rPr>
      </w:pPr>
    </w:p>
    <w:p>
      <w:pPr>
        <w:ind w:left="640" w:right="240" w:hanging="322"/>
        <w:spacing w:after="0" w:line="28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on which to assess our business; we have not completed any clinical trials, and have no products approved for commercial sale.</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incurred losses and we anticipate that we will continue to incur losses for the foreseeable future.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the capital that we need to support our business plans.</w:t>
      </w:r>
    </w:p>
    <w:p>
      <w:pPr>
        <w:spacing w:after="0" w:line="171"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shareholders, restrict our operations, or require us to relinquish rights to our technologies or product candidates.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Clinical Development and Regulatory Approval</w:t>
      </w:r>
    </w:p>
    <w:p>
      <w:pPr>
        <w:spacing w:after="0" w:line="175" w:lineRule="exact"/>
        <w:rPr>
          <w:sz w:val="20"/>
          <w:szCs w:val="20"/>
          <w:color w:val="auto"/>
        </w:rPr>
      </w:pPr>
    </w:p>
    <w:p>
      <w:pPr>
        <w:ind w:left="640" w:right="16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107" w:lineRule="exact"/>
        <w:rPr>
          <w:rFonts w:ascii="Times New Roman" w:cs="Times New Roman" w:eastAsia="Times New Roman" w:hAnsi="Times New Roman"/>
          <w:sz w:val="18"/>
          <w:szCs w:val="18"/>
          <w:color w:val="auto"/>
        </w:rPr>
      </w:pPr>
    </w:p>
    <w:p>
      <w:pPr>
        <w:ind w:left="640" w:right="12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program, CR-001, and our anticipated clinical trials of such program may not be successful.</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requirements for the chemistry, manufacturing, and control of our programs.</w:t>
      </w:r>
    </w:p>
    <w:p>
      <w:pPr>
        <w:spacing w:after="0" w:line="171" w:lineRule="exact"/>
        <w:rPr>
          <w:rFonts w:ascii="Times New Roman" w:cs="Times New Roman" w:eastAsia="Times New Roman" w:hAnsi="Times New Roman"/>
          <w:sz w:val="18"/>
          <w:szCs w:val="18"/>
          <w:color w:val="auto"/>
        </w:rPr>
      </w:pPr>
    </w:p>
    <w:p>
      <w:pPr>
        <w:ind w:left="640" w:right="70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addressed by product candidates developed by us.</w:t>
      </w:r>
    </w:p>
    <w:p>
      <w:pPr>
        <w:spacing w:after="0" w:line="107" w:lineRule="exact"/>
        <w:rPr>
          <w:rFonts w:ascii="Times New Roman" w:cs="Times New Roman" w:eastAsia="Times New Roman" w:hAnsi="Times New Roman"/>
          <w:sz w:val="18"/>
          <w:szCs w:val="18"/>
          <w:color w:val="auto"/>
        </w:rPr>
      </w:pPr>
    </w:p>
    <w:p>
      <w:pPr>
        <w:ind w:left="640" w:right="200" w:hanging="322"/>
        <w:spacing w:after="0" w:line="26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Food and Drug Administration (“FDA”) and comparable foreign regulatory approval processes are lengthy and time consuming and we may not be able to obtain or may be delayed in obtaining regulatory approvals for our product candidates.</w:t>
      </w:r>
    </w:p>
    <w:p>
      <w:pPr>
        <w:spacing w:after="0" w:line="121" w:lineRule="exact"/>
        <w:rPr>
          <w:rFonts w:ascii="Times New Roman" w:cs="Times New Roman" w:eastAsia="Times New Roman" w:hAnsi="Times New Roman"/>
          <w:sz w:val="18"/>
          <w:szCs w:val="18"/>
          <w:color w:val="auto"/>
        </w:rPr>
      </w:pPr>
    </w:p>
    <w:p>
      <w:pPr>
        <w:ind w:left="640" w:right="6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could negatively affect the review of our regulatory submissions, which could negatively impact our business.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we will be subject to ongoing regulatory obligations.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achieve our projected development goals in the time frames we announce and expect.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75" w:lineRule="exact"/>
        <w:rPr>
          <w:sz w:val="20"/>
          <w:szCs w:val="20"/>
          <w:color w:val="auto"/>
        </w:rPr>
      </w:pPr>
    </w:p>
    <w:p>
      <w:pPr>
        <w:ind w:left="640" w:right="480" w:hanging="322"/>
        <w:spacing w:after="0" w:line="282"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own any issued patents and our patent portfolio is in-licensed from Paragon and Kelun. Our ability to obtain and protect patent rights and protect other proprietary rights is uncertain.</w:t>
      </w:r>
    </w:p>
    <w:p>
      <w:pPr>
        <w:spacing w:after="0" w:line="108" w:lineRule="exact"/>
        <w:rPr>
          <w:sz w:val="20"/>
          <w:szCs w:val="20"/>
          <w:color w:val="auto"/>
        </w:rPr>
      </w:pPr>
    </w:p>
    <w:p>
      <w:pPr>
        <w:ind w:left="640" w:hanging="32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obtaining or maintaining necessary rights to our programs.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patent infringement claims or may need to file such claims.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products may be impaired by changes to patent laws.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could be reduced or eliminated for non-compliance with legal requirements.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or interpret relevant third-party patents.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challenging the inventorship or ownership of our intellectual property.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of our programs.</w:t>
      </w:r>
    </w:p>
    <w:p>
      <w:pPr>
        <w:spacing w:after="0" w:line="171" w:lineRule="exact"/>
        <w:rPr>
          <w:rFonts w:ascii="Times New Roman" w:cs="Times New Roman" w:eastAsia="Times New Roman" w:hAnsi="Times New Roman"/>
          <w:sz w:val="18"/>
          <w:szCs w:val="18"/>
          <w:color w:val="auto"/>
        </w:rPr>
      </w:pPr>
    </w:p>
    <w:p>
      <w:pPr>
        <w:ind w:left="640" w:right="26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licensed from Paragon and Kelun and any technology licensed from other third-parties in the future may be subject to retained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pacing w:after="0" w:line="175" w:lineRule="exact"/>
        <w:rPr>
          <w:sz w:val="20"/>
          <w:szCs w:val="20"/>
          <w:color w:val="auto"/>
        </w:rPr>
      </w:pPr>
    </w:p>
    <w:p>
      <w:pPr>
        <w:ind w:left="640" w:right="180" w:hanging="322"/>
        <w:spacing w:after="0" w:line="26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and in the future expect to rely on agreements with third parties to develop our product candidates. If we are unable to maintain our current or future collaborations or licensing arrangements, or if our current or future collaborations or licensing arrangements are not successful, our business could be negatively impacted.</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we rely on for the execution of nonclinical studies and clinical trials may fail to carry out their contractual duties.</w:t>
      </w:r>
    </w:p>
    <w:p>
      <w:pPr>
        <w:spacing w:after="0" w:line="171" w:lineRule="exact"/>
        <w:rPr>
          <w:rFonts w:ascii="Times New Roman" w:cs="Times New Roman" w:eastAsia="Times New Roman" w:hAnsi="Times New Roman"/>
          <w:sz w:val="18"/>
          <w:szCs w:val="18"/>
          <w:color w:val="auto"/>
        </w:rPr>
      </w:pPr>
    </w:p>
    <w:p>
      <w:pPr>
        <w:ind w:left="640" w:right="760" w:hanging="322"/>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use third-party manufacturing sites, our third-party manufacturers may encounter difficulties in production, or we may need to switch or create third-party manufacturer redundancies.</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Risk Factors - Risks Related to Employee Matters, Managing Growth, Other Risks Related to Our Business, and Owning Our Ordinary Shares</w:t>
      </w:r>
    </w:p>
    <w:p>
      <w:pPr>
        <w:spacing w:after="0" w:line="105" w:lineRule="exact"/>
        <w:rPr>
          <w:sz w:val="20"/>
          <w:szCs w:val="20"/>
          <w:color w:val="auto"/>
        </w:rPr>
      </w:pPr>
    </w:p>
    <w:p>
      <w:pPr>
        <w:ind w:left="64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key personnel and we will be harmed if we cannot recruit and retain highly qualified personnel to successfully implement our business strategy.</w:t>
      </w:r>
    </w:p>
    <w:p>
      <w:pPr>
        <w:spacing w:after="0" w:line="107" w:lineRule="exact"/>
        <w:rPr>
          <w:rFonts w:ascii="Times New Roman" w:cs="Times New Roman" w:eastAsia="Times New Roman" w:hAnsi="Times New Roman"/>
          <w:sz w:val="18"/>
          <w:szCs w:val="18"/>
          <w:color w:val="auto"/>
        </w:rPr>
      </w:pPr>
    </w:p>
    <w:p>
      <w:pPr>
        <w:ind w:left="640" w:right="40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107" w:lineRule="exact"/>
        <w:rPr>
          <w:rFonts w:ascii="Times New Roman" w:cs="Times New Roman" w:eastAsia="Times New Roman" w:hAnsi="Times New Roman"/>
          <w:sz w:val="18"/>
          <w:szCs w:val="18"/>
          <w:color w:val="auto"/>
        </w:rPr>
      </w:pPr>
    </w:p>
    <w:p>
      <w:pPr>
        <w:ind w:left="640" w:right="32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171" w:lineRule="exact"/>
        <w:rPr>
          <w:rFonts w:ascii="Times New Roman" w:cs="Times New Roman" w:eastAsia="Times New Roman" w:hAnsi="Times New Roman"/>
          <w:sz w:val="18"/>
          <w:szCs w:val="18"/>
          <w:color w:val="auto"/>
        </w:rPr>
      </w:pPr>
    </w:p>
    <w:p>
      <w:pPr>
        <w:ind w:left="640" w:right="10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failures to comply with United States and foreign privacy and data protection laws, regulations, and standards may adversely affect our business, operations, and consolidated financial performance.</w:t>
      </w:r>
    </w:p>
    <w:p>
      <w:pPr>
        <w:spacing w:after="0" w:line="107" w:lineRule="exact"/>
        <w:rPr>
          <w:rFonts w:ascii="Times New Roman" w:cs="Times New Roman" w:eastAsia="Times New Roman" w:hAnsi="Times New Roman"/>
          <w:sz w:val="18"/>
          <w:szCs w:val="18"/>
          <w:color w:val="auto"/>
        </w:rPr>
      </w:pPr>
    </w:p>
    <w:p>
      <w:pPr>
        <w:ind w:left="640" w:right="42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and our insurance may not cover all damages from such claims.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macroeconomic conditions, including tariffs.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dividends in the foreseeable future.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by existing shareholders could cause our share price to decline.</w:t>
      </w:r>
    </w:p>
    <w:p>
      <w:pPr>
        <w:spacing w:after="0" w:line="171" w:lineRule="exact"/>
        <w:rPr>
          <w:rFonts w:ascii="Times New Roman" w:cs="Times New Roman" w:eastAsia="Times New Roman" w:hAnsi="Times New Roman"/>
          <w:sz w:val="18"/>
          <w:szCs w:val="18"/>
          <w:color w:val="auto"/>
        </w:rPr>
      </w:pPr>
    </w:p>
    <w:p>
      <w:pPr>
        <w:ind w:left="640" w:right="14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equity and debt could result in additional dilution to our shareholders and could cause our share price to decline.</w:t>
      </w:r>
    </w:p>
    <w:p>
      <w:pPr>
        <w:sectPr>
          <w:pgSz w:w="11900" w:h="16838" w:orient="portrait"/>
          <w:cols w:equalWidth="0" w:num="1">
            <w:col w:w="9800"/>
          </w:cols>
          <w:pgMar w:left="100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00"/>
          </w:cols>
          <w:pgMar w:left="1000" w:top="1440" w:right="10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596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5960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in the Exchange Act. We will continue to be a smaller reporting company as long as (i)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value of our ordinary shares held by non-affiliates is less than $250.0 million or (ii) our annual revenue is less than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the most recently completed fiscal year and the market value of our ordinary shares held by non-affiliates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million. If we are a smaller reporting company at the time we cease to be an emerging growth company, we may continue to rely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exemptions from certain disclosure requirements that are available to smaller reporting companies. Specifically, as a smaller reporting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we may choose to present only the two most recent fiscal years of audited financial statements in our Annual Report on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 and smaller reporting companies have reduced disclosure obligations regarding executive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2003. Our company, formerly known as GlycoMimetics, Inc. (“GlycoMimetics”), is a biotechnology company that is the result of a reverse recapitalization transaction with a private company named Crescent Biopharma, Inc. (“Pre-Merger Crescent”). Prior to the reverse recapitalization transaction, Pre-Merger Crescent was established and incorporated under the laws of the state of Delaware on September 19, 2024. Pre-Merger Crescent was founded to research and develop cancer therapy candidates.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16, 2025, in connection with the reverse recapitalization transaction with Pre-Merger Crescent, we changed our jurisdiction of incorporation from the State of Delaware to the Cayman Islands pursuant to a plan of conversion.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300 Fifth Avenue, Waltham, MA 02451, and our telephone number is (617) 430-5595.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880"/>
          </w:cols>
          <w:pgMar w:left="1000" w:top="1440" w:right="10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76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07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57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37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offered by the Selling Securityholders</w:t>
            </w: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Up to (i) 13,664,251 outstanding Ordinary Shares issued and sold</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w w:val="99"/>
              </w:rPr>
              <w:t>to the Selling Securityholders in the Private Placement, (ii) 131,434</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5700" w:type="dxa"/>
            <w:vAlign w:val="bottom"/>
            <w:gridSpan w:val="3"/>
          </w:tcPr>
          <w:p>
            <w:pPr>
              <w:ind w:left="820"/>
              <w:spacing w:after="0" w:line="176" w:lineRule="exact"/>
              <w:rPr>
                <w:sz w:val="20"/>
                <w:szCs w:val="20"/>
                <w:color w:val="auto"/>
              </w:rPr>
            </w:pPr>
            <w:r>
              <w:rPr>
                <w:rFonts w:ascii="Times New Roman" w:cs="Times New Roman" w:eastAsia="Times New Roman" w:hAnsi="Times New Roman"/>
                <w:sz w:val="18"/>
                <w:szCs w:val="18"/>
                <w:color w:val="auto"/>
              </w:rPr>
              <w:t>Ordinary Shares issuable upon the exercise of pre-funded warrants</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5700" w:type="dxa"/>
            <w:vAlign w:val="bottom"/>
            <w:gridSpan w:val="3"/>
          </w:tcPr>
          <w:p>
            <w:pPr>
              <w:ind w:left="820"/>
              <w:spacing w:after="0" w:line="184" w:lineRule="exact"/>
              <w:rPr>
                <w:sz w:val="20"/>
                <w:szCs w:val="20"/>
                <w:color w:val="auto"/>
              </w:rPr>
            </w:pPr>
            <w:r>
              <w:rPr>
                <w:rFonts w:ascii="Times New Roman" w:cs="Times New Roman" w:eastAsia="Times New Roman" w:hAnsi="Times New Roman"/>
                <w:sz w:val="18"/>
                <w:szCs w:val="18"/>
                <w:color w:val="auto"/>
              </w:rPr>
              <w:t>issued and sold to the Selling Securityholders in the Private</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rPr>
              <w:t>Placement and (iii) 1,387,866 outstanding Ordinary Shares,</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5700" w:type="dxa"/>
            <w:vAlign w:val="bottom"/>
            <w:gridSpan w:val="3"/>
          </w:tcPr>
          <w:p>
            <w:pPr>
              <w:ind w:left="820"/>
              <w:spacing w:after="0" w:line="176" w:lineRule="exact"/>
              <w:rPr>
                <w:sz w:val="20"/>
                <w:szCs w:val="20"/>
                <w:color w:val="auto"/>
              </w:rPr>
            </w:pPr>
            <w:r>
              <w:rPr>
                <w:rFonts w:ascii="Times New Roman" w:cs="Times New Roman" w:eastAsia="Times New Roman" w:hAnsi="Times New Roman"/>
                <w:sz w:val="18"/>
                <w:szCs w:val="18"/>
                <w:color w:val="auto"/>
              </w:rPr>
              <w:t>1,636,706 Ordinary Shares issuable upon the exercise of pre-</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5700" w:type="dxa"/>
            <w:vAlign w:val="bottom"/>
            <w:gridSpan w:val="3"/>
          </w:tcPr>
          <w:p>
            <w:pPr>
              <w:ind w:left="820"/>
              <w:spacing w:after="0" w:line="184" w:lineRule="exact"/>
              <w:rPr>
                <w:sz w:val="20"/>
                <w:szCs w:val="20"/>
                <w:color w:val="auto"/>
              </w:rPr>
            </w:pPr>
            <w:r>
              <w:rPr>
                <w:rFonts w:ascii="Times New Roman" w:cs="Times New Roman" w:eastAsia="Times New Roman" w:hAnsi="Times New Roman"/>
                <w:sz w:val="18"/>
                <w:szCs w:val="18"/>
                <w:color w:val="auto"/>
              </w:rPr>
              <w:t>funded warrants and 2,890,000 Ordinary Shares issuable upon the</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rPr>
              <w:t>conversion of Series A non-voting convertible preferred shares, in</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5700" w:type="dxa"/>
            <w:vAlign w:val="bottom"/>
            <w:gridSpan w:val="3"/>
          </w:tcPr>
          <w:p>
            <w:pPr>
              <w:ind w:left="820"/>
              <w:spacing w:after="0" w:line="176" w:lineRule="exact"/>
              <w:rPr>
                <w:sz w:val="20"/>
                <w:szCs w:val="20"/>
                <w:color w:val="auto"/>
              </w:rPr>
            </w:pPr>
            <w:r>
              <w:rPr>
                <w:rFonts w:ascii="Times New Roman" w:cs="Times New Roman" w:eastAsia="Times New Roman" w:hAnsi="Times New Roman"/>
                <w:sz w:val="18"/>
                <w:szCs w:val="18"/>
                <w:color w:val="auto"/>
              </w:rPr>
              <w:t>each case, held by Fairmount Healthcare Fund II L.P. as of</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5700" w:type="dxa"/>
            <w:vAlign w:val="bottom"/>
            <w:gridSpan w:val="3"/>
          </w:tcPr>
          <w:p>
            <w:pPr>
              <w:ind w:left="820"/>
              <w:spacing w:after="0" w:line="184" w:lineRule="exact"/>
              <w:rPr>
                <w:sz w:val="20"/>
                <w:szCs w:val="20"/>
                <w:color w:val="auto"/>
              </w:rPr>
            </w:pPr>
            <w:r>
              <w:rPr>
                <w:rFonts w:ascii="Times New Roman" w:cs="Times New Roman" w:eastAsia="Times New Roman" w:hAnsi="Times New Roman"/>
                <w:sz w:val="18"/>
                <w:szCs w:val="18"/>
                <w:color w:val="auto"/>
              </w:rPr>
              <w:t>immediately prior to the closing of the Private Placement. The</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rPr>
              <w:t>Ordinary Shares being registered for resale under the registration</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5700" w:type="dxa"/>
            <w:vAlign w:val="bottom"/>
            <w:gridSpan w:val="3"/>
          </w:tcPr>
          <w:p>
            <w:pPr>
              <w:ind w:left="820"/>
              <w:spacing w:after="0" w:line="176" w:lineRule="exact"/>
              <w:rPr>
                <w:sz w:val="20"/>
                <w:szCs w:val="20"/>
                <w:color w:val="auto"/>
              </w:rPr>
            </w:pPr>
            <w:r>
              <w:rPr>
                <w:rFonts w:ascii="Times New Roman" w:cs="Times New Roman" w:eastAsia="Times New Roman" w:hAnsi="Times New Roman"/>
                <w:sz w:val="18"/>
                <w:szCs w:val="18"/>
                <w:color w:val="auto"/>
              </w:rPr>
              <w:t>statement of which this prospectus forms a part are referred to</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herein as the “Resale Shares.”</w:t>
            </w: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Terms of the Offering</w:t>
            </w: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9"/>
              </w:rPr>
              <w:t>The Selling Securityholders will determine when and how they will</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rPr>
              <w:t>dispose of the Resale Shares being registered for resale under the</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registration statement of which this prospectus forms a part.</w:t>
            </w: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As of December 31, 2025, there were 27,556,767 Ordinary Shares</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rPr>
              <w:t>outstanding and 2,890 Series A non-voting convertible preferred</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shares outstanding.</w:t>
            </w: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We will not receive any proceeds from the sale of the Resale</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rPr>
              <w:t>Shares offered by the Selling Securityholders under this</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5700" w:type="dxa"/>
            <w:vAlign w:val="bottom"/>
            <w:gridSpan w:val="3"/>
          </w:tcPr>
          <w:p>
            <w:pPr>
              <w:ind w:left="820"/>
              <w:spacing w:after="0" w:line="176" w:lineRule="exact"/>
              <w:rPr>
                <w:sz w:val="20"/>
                <w:szCs w:val="20"/>
                <w:color w:val="auto"/>
              </w:rPr>
            </w:pPr>
            <w:r>
              <w:rPr>
                <w:rFonts w:ascii="Times New Roman" w:cs="Times New Roman" w:eastAsia="Times New Roman" w:hAnsi="Times New Roman"/>
                <w:sz w:val="18"/>
                <w:szCs w:val="18"/>
                <w:color w:val="auto"/>
              </w:rPr>
              <w:t>prospectus. The net proceeds from the sale of the Resale Shares</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5700" w:type="dxa"/>
            <w:vAlign w:val="bottom"/>
            <w:gridSpan w:val="3"/>
          </w:tcPr>
          <w:p>
            <w:pPr>
              <w:ind w:left="820"/>
              <w:spacing w:after="0" w:line="184" w:lineRule="exact"/>
              <w:rPr>
                <w:sz w:val="20"/>
                <w:szCs w:val="20"/>
                <w:color w:val="auto"/>
              </w:rPr>
            </w:pPr>
            <w:r>
              <w:rPr>
                <w:rFonts w:ascii="Times New Roman" w:cs="Times New Roman" w:eastAsia="Times New Roman" w:hAnsi="Times New Roman"/>
                <w:sz w:val="18"/>
                <w:szCs w:val="18"/>
                <w:color w:val="auto"/>
              </w:rPr>
              <w:t>offered by this prospectus will be received by the Selling</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700" w:type="dxa"/>
            <w:vAlign w:val="bottom"/>
            <w:gridSpan w:val="3"/>
          </w:tcPr>
          <w:p>
            <w:pPr>
              <w:ind w:left="820"/>
              <w:spacing w:after="0" w:line="181" w:lineRule="exact"/>
              <w:rPr>
                <w:sz w:val="20"/>
                <w:szCs w:val="20"/>
                <w:color w:val="auto"/>
              </w:rPr>
            </w:pPr>
            <w:r>
              <w:rPr>
                <w:rFonts w:ascii="Times New Roman" w:cs="Times New Roman" w:eastAsia="Times New Roman" w:hAnsi="Times New Roman"/>
                <w:sz w:val="18"/>
                <w:szCs w:val="18"/>
                <w:color w:val="auto"/>
              </w:rPr>
              <w:t>Securityholders. Upon any exercise of the Private Placement Pre-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5700" w:type="dxa"/>
            <w:vAlign w:val="bottom"/>
            <w:gridSpan w:val="3"/>
          </w:tcPr>
          <w:p>
            <w:pPr>
              <w:ind w:left="820"/>
              <w:spacing w:after="0" w:line="176" w:lineRule="exact"/>
              <w:rPr>
                <w:sz w:val="20"/>
                <w:szCs w:val="20"/>
                <w:color w:val="auto"/>
              </w:rPr>
            </w:pPr>
            <w:r>
              <w:rPr>
                <w:rFonts w:ascii="Times New Roman" w:cs="Times New Roman" w:eastAsia="Times New Roman" w:hAnsi="Times New Roman"/>
                <w:sz w:val="18"/>
                <w:szCs w:val="18"/>
                <w:color w:val="auto"/>
                <w:w w:val="98"/>
              </w:rPr>
              <w:t>Funded Warrants or Fairmount Pre-Funded Warrants by payment of</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5700" w:type="dxa"/>
            <w:vAlign w:val="bottom"/>
            <w:gridSpan w:val="3"/>
          </w:tcPr>
          <w:p>
            <w:pPr>
              <w:ind w:left="820"/>
              <w:spacing w:after="0" w:line="184" w:lineRule="exact"/>
              <w:rPr>
                <w:sz w:val="20"/>
                <w:szCs w:val="20"/>
                <w:color w:val="auto"/>
              </w:rPr>
            </w:pPr>
            <w:r>
              <w:rPr>
                <w:rFonts w:ascii="Times New Roman" w:cs="Times New Roman" w:eastAsia="Times New Roman" w:hAnsi="Times New Roman"/>
                <w:sz w:val="18"/>
                <w:szCs w:val="18"/>
                <w:color w:val="auto"/>
                <w:w w:val="99"/>
              </w:rPr>
              <w:t>cash, however, we will receive the nominal cash exercise price paid</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by the holders thereof. See the section titled “Use of Proceeds.”</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and other information</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6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discussion of factors that you</w:t>
            </w:r>
          </w:p>
        </w:tc>
        <w:tc>
          <w:tcPr>
            <w:tcW w:w="0" w:type="dxa"/>
            <w:vAlign w:val="bottom"/>
          </w:tcPr>
          <w:p>
            <w:pPr>
              <w:spacing w:after="0" w:line="20" w:lineRule="exact"/>
              <w:rPr>
                <w:sz w:val="1"/>
                <w:szCs w:val="1"/>
                <w:color w:val="auto"/>
              </w:rPr>
            </w:pPr>
          </w:p>
        </w:tc>
      </w:tr>
      <w:tr>
        <w:trPr>
          <w:trHeight w:val="155"/>
        </w:trPr>
        <w:tc>
          <w:tcPr>
            <w:tcW w:w="4160" w:type="dxa"/>
            <w:vAlign w:val="bottom"/>
          </w:tcPr>
          <w:p>
            <w:pPr>
              <w:spacing w:after="0"/>
              <w:rPr>
                <w:sz w:val="13"/>
                <w:szCs w:val="13"/>
                <w:color w:val="auto"/>
              </w:rPr>
            </w:pPr>
          </w:p>
        </w:tc>
        <w:tc>
          <w:tcPr>
            <w:tcW w:w="3340" w:type="dxa"/>
            <w:vAlign w:val="bottom"/>
            <w:gridSpan w:val="2"/>
          </w:tcPr>
          <w:p>
            <w:pPr>
              <w:ind w:left="820"/>
              <w:spacing w:after="0" w:line="156" w:lineRule="exact"/>
              <w:rPr>
                <w:sz w:val="20"/>
                <w:szCs w:val="20"/>
                <w:color w:val="auto"/>
              </w:rPr>
            </w:pPr>
            <w:r>
              <w:rPr>
                <w:rFonts w:ascii="Times New Roman" w:cs="Times New Roman" w:eastAsia="Times New Roman" w:hAnsi="Times New Roman"/>
                <w:sz w:val="18"/>
                <w:szCs w:val="18"/>
                <w:color w:val="auto"/>
              </w:rPr>
              <w:t>included in this prospectus for a</w:t>
            </w: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5700" w:type="dxa"/>
            <w:vAlign w:val="bottom"/>
            <w:gridSpan w:val="3"/>
          </w:tcPr>
          <w:p>
            <w:pPr>
              <w:ind w:left="820"/>
              <w:spacing w:after="0" w:line="176" w:lineRule="exact"/>
              <w:rPr>
                <w:sz w:val="20"/>
                <w:szCs w:val="20"/>
                <w:color w:val="auto"/>
              </w:rPr>
            </w:pPr>
            <w:r>
              <w:rPr>
                <w:rFonts w:ascii="Times New Roman" w:cs="Times New Roman" w:eastAsia="Times New Roman" w:hAnsi="Times New Roman"/>
                <w:sz w:val="18"/>
                <w:szCs w:val="18"/>
                <w:color w:val="auto"/>
              </w:rPr>
              <w:t>should consider carefully before deciding to invest in our</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7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trading symbol</w:t>
            </w:r>
          </w:p>
        </w:tc>
        <w:tc>
          <w:tcPr>
            <w:tcW w:w="5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“CBIO”</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our Ordinary Shares outstanding above excludes the following:</w:t>
      </w:r>
    </w:p>
    <w:p>
      <w:pPr>
        <w:spacing w:after="0" w:line="171" w:lineRule="exact"/>
        <w:rPr>
          <w:sz w:val="20"/>
          <w:szCs w:val="20"/>
          <w:color w:val="auto"/>
        </w:rPr>
      </w:pPr>
    </w:p>
    <w:p>
      <w:pPr>
        <w:ind w:left="640" w:right="14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2,890,000 Ordinary Shares issuable upon conversion of our Series A non-voting convertible preferred shares outstanding as of December 31, 2025;</w:t>
      </w:r>
    </w:p>
    <w:p>
      <w:pPr>
        <w:spacing w:after="0" w:line="107" w:lineRule="exact"/>
        <w:rPr>
          <w:rFonts w:ascii="Times New Roman" w:cs="Times New Roman" w:eastAsia="Times New Roman" w:hAnsi="Times New Roman"/>
          <w:sz w:val="18"/>
          <w:szCs w:val="18"/>
          <w:color w:val="auto"/>
        </w:rPr>
      </w:pPr>
    </w:p>
    <w:p>
      <w:pPr>
        <w:ind w:left="640" w:right="180" w:hanging="322"/>
        <w:spacing w:after="0" w:line="26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2,898,556 Ordinary Shares issuable upon exercise of our pre-funded warrants outstanding as of December 31, 2025, with an exercise price of $0.01 per share (including the 131,434 Ordinary Shares issuable upon exercise of the Private Placement Pre-Funded Warrants and 1,636,706 Ordinary Shares issuable upon exercise of the Fairmount Pre-Funded Warrants);</w:t>
      </w:r>
    </w:p>
    <w:p>
      <w:pPr>
        <w:spacing w:after="0" w:line="121" w:lineRule="exact"/>
        <w:rPr>
          <w:rFonts w:ascii="Times New Roman" w:cs="Times New Roman" w:eastAsia="Times New Roman" w:hAnsi="Times New Roman"/>
          <w:sz w:val="18"/>
          <w:szCs w:val="18"/>
          <w:color w:val="auto"/>
        </w:rPr>
      </w:pPr>
    </w:p>
    <w:p>
      <w:pPr>
        <w:ind w:left="640" w:right="28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1,901,561 Ordinary Shares issuable upon the exercise of options outstanding as of December 31, 2025 under our 2025 Stock Incentive Plan (the “2025 Plan”), at a weighted-average exercise price of $13.18 per share;</w:t>
      </w:r>
    </w:p>
    <w:p>
      <w:pPr>
        <w:spacing w:after="0" w:line="107" w:lineRule="exact"/>
        <w:rPr>
          <w:rFonts w:ascii="Times New Roman" w:cs="Times New Roman" w:eastAsia="Times New Roman" w:hAnsi="Times New Roman"/>
          <w:sz w:val="18"/>
          <w:szCs w:val="18"/>
          <w:color w:val="auto"/>
        </w:rPr>
      </w:pPr>
    </w:p>
    <w:p>
      <w:pPr>
        <w:ind w:left="640" w:right="38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303,068 Ordinary Shares issuable upon the vesting of restricted share units outstanding as of December 31, 2025 under our 2025 Plan;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80"/>
          </w:cols>
          <w:pgMar w:left="1000"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561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356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right="160" w:hanging="322"/>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3,683,519 Ordinary Shares issuable upon the exercise of options outstanding as of December 31, 2025 under our 2024 Equity Incentive Plan (the “2024 Plan”), at a weighted-average exercise price of $7.90 per share;</w:t>
      </w:r>
    </w:p>
    <w:p>
      <w:pPr>
        <w:spacing w:after="0" w:line="107" w:lineRule="exact"/>
        <w:rPr>
          <w:rFonts w:ascii="Times New Roman" w:cs="Times New Roman" w:eastAsia="Times New Roman" w:hAnsi="Times New Roman"/>
          <w:sz w:val="18"/>
          <w:szCs w:val="18"/>
          <w:color w:val="auto"/>
        </w:rPr>
      </w:pPr>
    </w:p>
    <w:p>
      <w:pPr>
        <w:ind w:left="640" w:right="340" w:hanging="322"/>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438,386 Ordinary Shares issuable upon the vesting of restricted share units outstanding as of December 31, 2025 under our 2024 Plan;</w:t>
      </w:r>
    </w:p>
    <w:p>
      <w:pPr>
        <w:spacing w:after="0" w:line="107" w:lineRule="exact"/>
        <w:rPr>
          <w:rFonts w:ascii="Times New Roman" w:cs="Times New Roman" w:eastAsia="Times New Roman" w:hAnsi="Times New Roman"/>
          <w:sz w:val="18"/>
          <w:szCs w:val="18"/>
          <w:color w:val="auto"/>
        </w:rPr>
      </w:pPr>
    </w:p>
    <w:p>
      <w:pPr>
        <w:ind w:left="640" w:right="120" w:hanging="322"/>
        <w:spacing w:after="0" w:line="26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581,074 Ordinary Shares issuable upon the exercise of options outstanding as of December 31, 2025 under our 2025 Employment Inducement Incentive Award Plan (the “2025 Inducement Plan”), at a weighted-average exercise price of $13.06 per share;</w:t>
      </w:r>
    </w:p>
    <w:p>
      <w:pPr>
        <w:spacing w:after="0" w:line="121" w:lineRule="exact"/>
        <w:rPr>
          <w:rFonts w:ascii="Times New Roman" w:cs="Times New Roman" w:eastAsia="Times New Roman" w:hAnsi="Times New Roman"/>
          <w:sz w:val="18"/>
          <w:szCs w:val="18"/>
          <w:color w:val="auto"/>
        </w:rPr>
      </w:pPr>
    </w:p>
    <w:p>
      <w:pPr>
        <w:ind w:left="640" w:right="180" w:hanging="322"/>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141,333 Ordinary Shares reserved for future issuance under the 2025 Plan as of December 31, 2025, as well as any automatic increase in the number of Ordinary Shares reserved for future issuance under our 2025 Plan;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668,926 Ordinary Shares reserved for future issuance under the 2025 Inducement Plan; and</w:t>
      </w:r>
    </w:p>
    <w:p>
      <w:pPr>
        <w:spacing w:after="0" w:line="171" w:lineRule="exact"/>
        <w:rPr>
          <w:rFonts w:ascii="Times New Roman" w:cs="Times New Roman" w:eastAsia="Times New Roman" w:hAnsi="Times New Roman"/>
          <w:sz w:val="18"/>
          <w:szCs w:val="18"/>
          <w:color w:val="auto"/>
        </w:rPr>
      </w:pPr>
    </w:p>
    <w:p>
      <w:pPr>
        <w:ind w:left="640" w:right="60" w:hanging="322"/>
        <w:spacing w:after="0" w:line="26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195,497 Ordinary Shares reserved for future issuance under our 2025 Employee Stock Purchase Plan (the “ESPP”) as of December 31, 2025, as well as any automatic increase in the number of Ordinary Shares reserved for future issuance under our ESPP.</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no exercise of outstanding options or warrants, no conversion of outstanding Series A non-voting convertible preferred shares and no vesting of restricted share units or restricted ordinary shares after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840"/>
          </w:cols>
          <w:pgMar w:left="1000" w:top="1440" w:right="105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ordinary shares. The occurrence of any of these risks could harm our business, financial condition, results of operations and/or growth prospects or cause our actual results to differ materially from those contained in forward-looking statements we have made in this prospectus and those we may make from time to time. Additional risks and uncertainties not presently known to us or that we currently believe to be immaterial may also adversely affect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71"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on which to assess our business; we have not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We will need to raise substantial additional capital to continue to fund our operations in the future. We have based our estimates on assumptions that may prove to be wrong, and could exhaust our available financial resources sooner than we currently anticipate. We have devoted substantially all of our financial resources to identify, acquire, and develop our product candidates, organizing and staffing our company, and providing general and administrative support for our operations.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Developing our product candidates requires a substantial amount of capital. We expect our research and development expenses to continue to increase in connection with its ongoing activities, particularly as we advance our product candidates through preclinical studies and clinical trials. We will need to raise additional capital to fund our operations, and such funding may not be available to us on acceptable terms, or at all, and such funding may become even more difficult to obtain due to rising interest rates and the current downturn in the U.S. capital markets and the biotechnology sector in general. Competition for additional capital among biotechnology companies may be particularly intense during economic downturns. We may be unable to raise capital through public offerings of our ordinary shares and may need to turn to alternative financing arrangements. Such arrangements, if we pursue them, could involve the issuance of one or more types of securities, including ordinary shares, preferred shares, convertible debt, warrants to acquire ordinary shares, or other securities. These securities could be issued at or below the then prevailing market price for our ordinary shares. In addition, if we issue debt securities, the holders of the debt would have a claim to our assets that would be superior to the rights of shareholders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ordinary shares, the market price of our ordinary shares could be materially and adversely affected.</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currently have any products approved for sale and do not generate any revenue from product sales. Accordingly, we expect to rely primarily on equity and/or debt financings to fund our continued operations. Our ability to raise additional funds will depend, in part, on the success of our preclinical studies and clinical trials and other product development activities, regulatory events, our ability to identify and enter into 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raise additional capital when required or on acceptable terms, we may be required to:</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technology assets, or relinquish or license on unfavorable terms, our rights to technologies or any of our product candidates that we otherwise would seek to develop or commercialize ourselves;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sale of the company to a third party at a price that may result in a loss on investment for our shareholders;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for bankruptcy or cease operations altogether (and face any related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have a material adverse effect on our business, operating results, and prospects.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successful in raising new capital, we could be limited in the amount of capital we raise due to investor demand restrictions placed on the amount of capital we raise or other reasons.</w:t>
      </w:r>
    </w:p>
    <w:p>
      <w:pPr>
        <w:spacing w:after="0" w:line="10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Additionally, any capital raising efforts are subject to significant risks and contingencies, as described in more detail under the risk factor titled “</w:t>
      </w:r>
      <w:r>
        <w:rPr>
          <w:rFonts w:ascii="Times New Roman" w:cs="Times New Roman" w:eastAsia="Times New Roman" w:hAnsi="Times New Roman"/>
          <w:sz w:val="18"/>
          <w:szCs w:val="18"/>
          <w:i w:val="1"/>
          <w:iCs w:val="1"/>
          <w:color w:val="auto"/>
        </w:rPr>
        <w:t>Raising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capital may cause dilution to our shareholders, restrict our operations, or require us to relinquish rights.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and may never be profitable.</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have no products approved for commercialization and have never generated any revenue from product sales. Our ability to generate revenue and achieve profitability depends on our ability, alone or with strategic collaborators, to successfully complete the development of, and obtain the regulatory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spacing w:after="0" w:line="11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development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for our product candidates for which we complete clinical trials;</w:t>
      </w:r>
    </w:p>
    <w:p>
      <w:pPr>
        <w:spacing w:after="0" w:line="171"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w:t>
      </w:r>
    </w:p>
    <w:p>
      <w:pPr>
        <w:spacing w:after="0" w:line="12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third-party payors for any product candidates for which we obtain regulatory approval;</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launching, and commercializing product candidates for which we obtain regulatory approval, either directly or with a collaborator or distributor;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gaining market acceptance of our product candidates as treatment options;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products and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internal systems and infrastructure, as needed;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intellectual property rights, including patents, trade secrets, and know-how;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in the future;</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from third-party payors and maintaining pricing for our product candidates that supports profitability;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perform clinical and other studies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1440" w:right="399" w:bottom="1440" w:gutter="0" w:footer="0" w:header="0"/>
        </w:sectPr>
      </w:pPr>
    </w:p>
    <w:bookmarkStart w:id="14" w:name="page15"/>
    <w:bookmarkEnd w:id="14"/>
    <w:p>
      <w:pPr>
        <w:spacing w:after="0" w:line="14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addition to those that we anticipate. Even if we are able to generate revenues from the sale of any approved products, we may not become profitable and may need to obtain additional funding to continue operations. We will also have to develop or acquire manufacturing capabilities or continue to contract with contract manufacturers in order to continue development and potential commercialization of our product candidates. For instance, if the costs of manufacturing our drug product are not commercially feasible, we will need to develop or procure our drug product in a commercially feasible manner in order to successfully commercialize a future approved product, if any. Additionally, if we are not able to generate revenue from the sale of any approved products, we may never become profitable.</w:t>
      </w:r>
    </w:p>
    <w:p>
      <w:pPr>
        <w:spacing w:after="0" w:line="1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on which to assess our business; we have not completed any clinical trials, have no products approved for commercial sale, have historically incurred losses, and anticipates that we will continue to incur significant losses for the foreseeable future.</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 are a clinical-stage biotechnology company with a limited operating history. Since September 19, 2024 (inception), we have incurred significant operating losses. For the nine months ended September 30, 2025, we reported a net loss of $61.5 million and had an accumulated deficit of $79.4 million. We will need to raise substantial additional capital to continue to fund our operations in the future. Failure to raise capital as and when needed, on favorable terms or at all, would have a negative impact on our financial condition and our ability to develop our product candidates. Changing circumstances may cause us to consume capital significantly faster or slower than we currently anticipate. If we are unable to acquire additional capital or resources, we will be required to modify our operational plans to complete future milestones and we may be required to delay, limit, reduce, or eliminate development or future commercialization efforts of product candidates and/or programs. 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or entering into strategic collaborations.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to identify, acquire, and develop our product candidates, organizing and staffing our company, and providing general and administrative support for our operations. To date, we have funded our operations primarily from the sale and issuance of convertible preferred and common equity securities and unsecured convertible notes. The amount of our future net losses will depend, in part, on the rate of our future expenditures and our ability to obtain funding through equity or debt financings, strategic collaborations, or grants.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expect our losses to increase as our product candidates enter more advanced clinical trials. It may be several years, if ever, before we complete pivotal clinical trials and/or have a product candidate approved for commercialization. We expect to invest significant funds into the research and development of our current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w:t>
      </w:r>
    </w:p>
    <w:p>
      <w:pPr>
        <w:spacing w:after="0" w:line="1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and our expenses will increase substantially if and as we:</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preclinical development and initiate the clinical development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efforts to discover and develop new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manufacturing of our product candidates or increase volumes manufactured by third parties;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into larger, more expensive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4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studies or clinical trials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reimbursement for our product candidates;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market for ourselves;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and/or develop other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third-party license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protect, and expand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pay penalties under our Registration Rights Agreement for failing to timely register the applicable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and retain skilled personnel;</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the development and potential regulatory approval of our clinical and product candidates such as safety issues, manufacturing delays, clinical trial accrual delays, longer follow-up for planned studies or trials, additional major studies or trials, or supportive trials necessary to support regulatory approval;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 significant experience as a company in initiating, conducting, or completing clinical trials. In part because of this lack of experience, we cannot be certain that our planned clinical trials will begin or be completed on time, if at all. In addition, we have not yet demonstrated an ability to obtain regulatory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Further, the net losses we incur may fluctuate significantly from quarter to quarter and year to year, such that a period-to-period comparison of our results of operations may not be a good indication of our future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the sale of our product candidates, we expect to finance our cash needs through a combination of equity offerings, debt financings, and license and development agreements. To the extent that we raise additional capital through the sale of equity securities or convertible debt securities, the ownership interest of our shareholders will be diluted, and the terms of these securities may include liquidation or other preferences that adversely affect the rights of holders of our ordinary shares.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including pursuant to any sales under convertible debt or other securities convertible into equity, the ownership interest of our shareholders will be diluted, and the terms of these new securities may include liquidation or other preferences that adversely affect the rights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shareholders. For instance, immediately prior to the consummation of the Merger, certain institutional and accredited investors purchased shares of Pre-Merger Crescent common stock and pre-funded warrants for an aggregate purchase price of $200.0 million (which includes $37.5 million of gross proceeds we previously received from the issuance of the Convertible Notes in October 2024).</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assure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programs for the diseases addressed by product candidates developed by us.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drugs is highly competitive. Product candidates developed by us,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including Merck, Bristol Myers Squibb, Genentech, AstraZeneca, Summit Therapeutics Inc., BioNTech SE, LaNova Medicines Ltd., and Compass Therapeutics, Inc.,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regulatory approved products than we do, and are further along in the clinical development and/or commercialization process than we are.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raising capital, registering patients for clinical trials, establishing and defending rights to intellectual property, as well as in acquiring technologies complementary to, or necessary for, our product candidates.</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competitors have developed, are developing, or may in the future develop programs and processes competitive with our programs and processes. Competitive therapeutic treatments include those that have already been approved and accepted by the medical community and any potential new treatments, including those currently under clinical development.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 Conversely, the lack of commercial success of other competing programs may raise concerns about the financial viability of our programs.</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program, CR-001, as well as our ADC programs, CR-002 and CR-003, and our development programs may not be successful.</w:t>
      </w:r>
    </w:p>
    <w:p>
      <w:pPr>
        <w:spacing w:after="0" w:line="10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timely obtain regulatory approval for, and then successfully commercialize, our lead program, CR-001. We also intend to advance our ADC programs, CR-002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CR-003. We are investing a majority of our efforts and financial resources into the research and development of these programs. We believe the success of CR-001 is dependent on observing in CR-001 the targeting, binding, cooperativity and pharmacokinetics of ivonescimab, an anti-PD-1/anti-VEGF bispecific antibody that demonstrated significantly improved progression-free survival (“PFS”) to market-leading pembrolizumab in a large third-party Phase 3 clinical trial, while avoiding the mechanistic risks that could perturb the balance of efficacy and safety that define this new class of immunotherapy. To the extent we do not observe this recapitulation of ivonescimab in CR-001, or are otherwise unsuccessful in our efforts to develop CR-001, it would significantly and adversely affect the clinical and commercial potential of CR-001.</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development, evaluation of clinical, preclinical, and manufacturing activities, product development, regulatory approval in multiple jurisdictions, substantial investment, and significant marketing efforts before we generate any revenues from product sales. We are not permitted to market or promote any of our product candidates before we receive regulatory approval from the FDA and comparable foreign regulatory authorities, and we may never receive such regulatory approval.</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Accordingly, we cannot assure you that we will ever be able to generate revenue through the sale of these product candidates, even if approved. If we are not successful in obtaining regulatory approval and commercializing our CR-001, CR-002, CR-003 and any future programs, including CR-004, or are significantly delayed in doing so, our business will be materially harmed.</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 candidates may be delayed and our expenses may increase and, as a result, our share price may decline.</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refers to as milestones. These milestones may include the commencement or completion of scientific studies and clinical trials, such as the expected timing for the anticipated commencement of our Phase 1/2 studies, and clinical trials in solid tumor and other target indications, as well as the receipt of clinical data, and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 candidates may be delayed or never achieved and, as a result, our share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drug delivery device that we potentially use to deliver our product candidates may have its own regulatory, development, supply and other risks.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For example, the FDA’s review of a marketing application for our product candidates may include the participation of both the FDA’s Center for Biologics Evaluation and Research and the FDA’s Center for Devices and Radiological Health. 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product candidates we develop will be reviewed within the usual time frames expected for the underlying biologic component application,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spacing w:after="0" w:line="13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programs is unproven, and we may not be successful in our efforts to build a pipeline of programs with commercial value.</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approach to the discovery and development of our programs, particularly CR-001, leverages clinically validated mechanisms of action and incorporates the targeting, binding, cooperativity and pharmacokinetics of ivonescimab, an anti-PD-1/anti-VEGF bispecific antibody that demonstrated significantly improved PFS to market-leading pembrolizumab in HARMONi-2, a large Phase 3 clinical trial, sponsored by Akeso, for the treatment of naïve, or not previously treated, advanced and metastatic non-small cell lung cancer (“NSCLC”). Our programs are purposefully designed to avoid mechanistic risks that could perturb the balance of efficacy and safety that defines this new class of immunotherapy. However, the scientific research that forms the basis of our efforts to develop programs using ivonescimab-like technologies is ongoing and may not result in viable programs. There are limited clinical data available on product candidates utilizing the same mechanism of action as ivonescimab, especially in solid tumor indications, demonstrating whether they are safe or effective for long-term treatment in humans. The long-term safety and efficacy of these technologies and exposure profile of our programs compared to currently approved products is unknown. Additionally, there can be no assurance that our ongoing and planned clinical trials will generate results compared to those observed for ivonescimab, particularly where we conduct trials outside of NSCLC.</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ultimately discover that reproducing ivonescimab’s established pharmacology for its specific targets and indications and any programs resulting therefrom does not possess certain properties required for therapeutic effectiveness. We currently have only preclinical data regarding the ivonescimab-like properties of our programs and the same results may not be seen in humans. In addition, programs using ivonescimab-like technologies may demonstrate different chemical and pharmacological properties in patients than they do in laboratory studies. This technology and any programs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 In addition, the failure of companies that are developing products similar to us or targeting the same indications as we are to demonstrate safety and efficacy of their product candidates may be harmful to our business, financial condition, results of operations, and prospects.</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programs that are based on novel targets and technologies that are unproven. If our discovery or business development activities fail to identify novel targets or technologies for drug development,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programs prove to be ineffective, unsafe, or commercially unviable, such programs would have little, if any, value, which would have a material and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1440" w:right="399" w:bottom="1440" w:gutter="0" w:footer="0" w:header="0"/>
        </w:sectPr>
      </w:pPr>
    </w:p>
    <w:bookmarkStart w:id="19" w:name="page20"/>
    <w:bookmarkEnd w:id="19"/>
    <w:p>
      <w:pPr>
        <w:spacing w:after="0" w:line="13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commercialization of any of our product candidates, we must conduct extensive clinical trials to demonstrate the safety purity, potency, and efficacy of the product candidate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application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14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preclinical studies or clinical trials will begin on time or be completed on schedule, if at all. The timing for commencement, data readouts and completion of clinical trials can be delayed for a number of reasons, including delays related to:</w:t>
      </w:r>
    </w:p>
    <w:p>
      <w:pPr>
        <w:spacing w:after="0" w:line="10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7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or approval from regulatory authorities to commence a trial or reaching a consensus with regulatory authorities on trial design;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Contract Research Organizations (“CROs”) and clinical trial sites, the terms of which can be subject to extensive negotiation and may vary significantly among different CROs and trial sites;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 or ethics committees at clinical trial sites;</w:t>
      </w:r>
    </w:p>
    <w:p>
      <w:pPr>
        <w:spacing w:after="0" w:line="171"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amendments to the clinical trial protocol;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Good Clinical Practice (“GCP”) requirements or applicable regulatory rules and guidelines in other countries;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our product candidates, or obtaining sufficient quantities of combination therapies for use in clinical trials;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 including subjects failing to remain in our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1440" w:right="379" w:bottom="1440" w:gutter="0" w:footer="0" w:header="0"/>
        </w:sectPr>
      </w:pPr>
    </w:p>
    <w:bookmarkStart w:id="20" w:name="page21"/>
    <w:bookmarkEnd w:id="20"/>
    <w:p>
      <w:pPr>
        <w:spacing w:after="0" w:line="140" w:lineRule="exact"/>
        <w:rPr>
          <w:sz w:val="20"/>
          <w:szCs w:val="20"/>
          <w:color w:val="auto"/>
        </w:rPr>
      </w:pPr>
    </w:p>
    <w:p>
      <w:pPr>
        <w:ind w:left="660" w:right="4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an alternative product for the indications for which we are developing our product candidates, or participating in competing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a clinical trial, or costs being greater than we anticipate;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serious unexpected drug-related adverse effects;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and guidelines, and remain subject to oversight by these governmental agencies and ethics committees or Institutional Review Boards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products to market before we do, and the commercial viability of our product candidates could be significantly reduced. Any of these occurrences may harm our business, financial condition and prospects.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EU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13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regulatory authorities.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in clinical trials may be affected by other factors, including:</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targeted patient population;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condition under investigation;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or condition under investigation;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such trials before completion.</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other pharmaceutical companies targeting these same diseases are recruiting clinical trial patients from these patient populations, which may make it more difficult to fully enroll any clinical trials. We also rely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22" w:name="page23"/>
    <w:bookmarkEnd w:id="22"/>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 available and are subject to audit and verification procedures.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As a result, 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disclosure of such data by us could result in volatility in the price of our ordinary shares.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us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As a result, you or others may have reached different conclusions based on such extensive information in comparison to our publicly disclosed conclusion regarding a particular preclinical study or clinical trial.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Use of our product candidates could be associated with adverse side effects, adverse events or other properties or safety risks, which could delay or preclude approval, cause us to suspend or discontinue clinical trials, abandon a product candidate, limit the commercial profile of an approved product or result in other significant negative consequences that could severely harm our business, prospects, operating results and financial condition.</w:t>
      </w:r>
    </w:p>
    <w:p>
      <w:pPr>
        <w:spacing w:after="0" w:line="1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whether used alone on in combination with other therapies, could cause us or regulatory authorities to interrupt, delay or halt clinical trials or lead to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drugs, we may need to interrupt, delay or abandon their development or limit development to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narrow uses or subpopulations in which the undesirable side effects or other characteristics are less prevalent, less severe or more acceptable from a risk-benefit perspective.</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significant adverse events or other side effects not observed in our preclinical studies or previous clinical trials.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If such significant adverse events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w:t>
      </w:r>
    </w:p>
    <w:p>
      <w:pPr>
        <w:spacing w:after="0" w:line="13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a product;</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a product for patients, or to conduct post-marketing studies;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become less competitive, and our reputation may suffer.</w:t>
      </w:r>
    </w:p>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1440" w:right="439" w:bottom="1440" w:gutter="0" w:footer="0" w:header="0"/>
        </w:sectPr>
      </w:pPr>
    </w:p>
    <w:bookmarkStart w:id="24" w:name="page25"/>
    <w:bookmarkEnd w:id="24"/>
    <w:p>
      <w:pPr>
        <w:spacing w:after="0" w:line="13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attempt to obtain accelerated approval of our product candidates. If we are unable to obtain accelerated approval, we may be required to conduct clinical trials beyond those that we contemplate, or the size and duration of our pivotal clinical trials could be greater than currently planned, which could increase the expense of obtaining, reduce the likelihood of obtaining, and/or delay the timing of obtaining necessary regulatory approvals. Even if we receive accelerated approval from the FDA or comparable foreign regulatory authorities, the FDA or comparable foreign regulatory authorities may require that we conduct confirmatory trials to verify clinical benefit. If such confirmatory trials do not verify clinical benefit, or if we do not comply with rigorous post-approval requirements, the FDA may seek to withdraw any accelerated approval we have obtained.</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seek accelerated approval for our product candidates. The FDA may grant accelerated approval to a product candidate designed to treat a serious or life-threatening condition that provides meaningful therapeutic advantage over available therapies and upon a determination that the product candidate has an effect on a surrogate endpoint or intermediate clinical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FDA considers a clinical benefit to be a positive therapeutic effect that is clinically meaningful in the context of a given disease.</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granted, accelerated approval is usually contingent on the sponsor’s agreement to conduct, in a diligent manner, additional confirmatory studies to verify and describe the drug’s predicted effect on irreversible morbidity or mortality or other clinical benefit. Under the Food and Drug Omnibus Reform Act of 2022, the FDA may require, as appropriate, that any such confirmatory study be initiated or substantially underway prior to the submission of an application for accelerated approval. If such post-approval studies fail to confirm the drug’s clinical benefits relative to its risks, the FDA may withdraw its approval of the drug on an expedited basis.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choose to pursue accelerated approval, there can be no assurance that the FDA will agree that we have identified appropriate surrogate or intermediate endpoints. Similarly, there can be no assurance that after subsequent FDA feedback that we will continue to pursue accelerated approval or any other form of expedited development, review, or approval, even if we initially decide to do so. Furthermore, if we submit an application for accelerated approval, there can be no assurance that such application will be accepted or that approval will be granted on a timely basis, or at all. The FDA also could require us to conduct further studies or trials prior to considering our application or granting approval of any type.</w:t>
      </w:r>
    </w:p>
    <w:p>
      <w:pPr>
        <w:spacing w:after="0" w:line="1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Even if we receive accelerated approval of any of our product candidates from the FDA, we will be subject to rigorous post-approval requirements, including submission to the FDA of all promotional materials prior to their dissemination, and will likely be required by FDA to conduct a confirmatory study to verify the predicted clinical benefit. The FDA could withdraw accelerated approval for multiple reasons, including our failure to conduct any required post-approval study with due diligence, or the inability of such study to confirm the predicted clinical benefit. A failure to obtain accelerated approval or any other form of expedited review or approval for a product candidate could result in a longer time period prior to commercializing such product candidate, if ever, increase the cost of development of such product candidate, and harm our competitive position in the marketplace.</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program and fail to capitalize on programs that may be more profitable or for which there is a greater likelihood of success.</w:t>
      </w:r>
    </w:p>
    <w:p>
      <w:pPr>
        <w:spacing w:after="0" w:line="10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research and development efforts on certain selected programs. We have and may continue to utilize Paragon Therapeutics, Inc. (“Paragon”) to conduct certain research activities (primarily preclinical studies) pursuant to discovery and option agreements into which we may enter, such as the Antibody Discovery and Option Agreement, dated September 19, 2024 (the “Antibody Paragon Option Agreement”), and the Amended and Restated ADC Discovery and Option Agreement, dated April 28, 2025 (the “ADC Paragon Option Agreement” and together with the Antibody Paragon Option Agreement, the “Paragon Option Agreements”), each by and among Crescent, Paragon and Parascent Holding LLC. For example, we are initially focused on our lead programs, CR-001, CR-002 and CR-003. As a result, we may forgo or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25" w:name="page26"/>
    <w:bookmarkEnd w:id="25"/>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pursuit of opportunities with other programs such as CR-004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In addition, historically we have selected product candidates amongst a variety of potential product candidates from Paragon, and the product candidates we have selected, initially CR-001 and CR-002, may fail to be viable commercial products or the product candidates we do not select may have a greater likelihood of success.</w:t>
      </w:r>
    </w:p>
    <w:p>
      <w:pPr>
        <w:spacing w:after="0" w:line="13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resulting from one of our current or future programs, they may not gain market acceptance among physicians, healthcare professionals,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solid tumors, including pembrolizumab. In addition, Opdivo, a PD-1 inhibitor, and Yervoy®, a CTLA-4 inhibitor, in combination are approved by the FDA for treating various cancers, including metastatic melanoma, advanced renal cell carcinoma, and certain types of colorectal cancer. CR-001 utilizes a proprietary anti-PD-1/anti-VEGF bispecific antibody for its proposed method of action, and is designed to recapitulate the targeting, binding, cooperativity and pharmacokinetics of ivonescimab, an anti-PD-1/anti-VEGF bispecific antibody that demonstrated significantly improved PFS to market-leading pembrolizumab in a large third-party Phase 3 clinical trial. Although checkpoint inhibitors are highly effective in some patients, most patients with solid tumors fail to respond to these therapies. Furthermore, patients who do respond do not always achieve durable responses. With respect to CR-002 and CR-003, regarding ADC development, we are aware of other ADC product candidates in clinical development for solid tumor indications, including, but not limited to, PDL1V (Pfizer), HLX-43 (Henlius), sigvotatug vedotin (Pfizer). Market participants with significant influence over acceptance of new treatments, such as clinicians and third-party payors, may not adopt a biologic that uses cooperative binding qualities for our targeted indications, and we may not be able to convince the medical community and third-party payors to accept and use, or to provide favorable reimbursement for, any programs developed by us or our existing or future collaborators. Serious adverse events, including fatal pulmonary hemorrhage, observed in anti-VEGF inhibitors, such as bevacizumab, may adversely affect our ability to gain market acceptance. Market acceptance of our product candidates may be negatively impacted by potential poor performance of our competitors, including the occurrence of serious adverse events in such competitors’ clinical trials or failure by such competitors to obtain and maintain regulatory approval for their product candidates.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of our product candidates are approved but does not achieve an adequate level of acceptance by such parties, we may not generate or derive sufficient revenue from that product candidate and may not become or remain profitable. Market acceptance of our product candidates will depend on many factors, including factors that are not within our control.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programs may compete with our other programs, which could negatively impact our business and reduce our future revenue.</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developing product candidates for the same indication, solid tumors, and may in the future develop our programs for other oncology indications. Each such program targets a different mechanism of action. However, developing multiple programs for a single indication may negatively impact our business if the programs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with each other. For example, if multiple programs are conducting clinical trials at the same time, they could compete for the enrollment of patients. In addition, if multiple product candidates are approved for the same indication, they may compete for market share, which could limit our future revenue.</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clinical trials, initially for our CR-001 program and for future programs, at sites outside the United States, and the FDA may not accept data from trials conducted in such locations.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intend to conduct clinical trials for CR-001 outside of the United States, and expect to conduct one or more of our future clinical trials for CR-002, CR-003, and any other future programs outside the United States. Although the FDA may accept data from clinical trials conducted outside the United States, acceptance of this data is subject to conditions imposed by the FDA. In cases where data from foreign clinical trials are intended to serve as the sole basis for regulatory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w:t>
      </w:r>
    </w:p>
    <w:p>
      <w:pPr>
        <w:spacing w:after="0" w:line="1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FDA or any comparable foreign regulatory authority will accept data from trials conducted outside of the United States or the relevant jurisdiction.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0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program, CR-001, and other planned programs, CR-002, CR-003 and CR-004, we must demonstrate through lengthy, complex, and expensive preclinical studies and clinical trials that our product candidates are both safe and effective for each targeted indication, or with respect to our product candidates regulated as biologics, that such candidates are safe,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pure, and potent for their intended uses.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regulatory approval. The FDA and comparable foreign regulatory authorities have substantial discretion in the approval process and may refuse to accept any application or may decide that our data are insufficient for approval and require additional preclinical, clinical, or other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be delayed in receiving, or fail to receive, regulatory approval for many reasons,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potent, or effective for its proposed indication(s);</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persuasiveness required by the FDA or comparable foreign regulatory authorities for approval;</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patients in our clinical trials or by individuals using drugs similar to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acceptable or sufficient to support the submission of a Biologics License Application (“BLA”) or other submission or to obtain regulatory approval in the United States or elsewhere, and we may be required to conduct additional clinical trials;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authority may disagree regarding the formulation, labeling, and/or the specifications of our product candidates;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approval policies or regulations of the FDA or comparable foreign regulatory authorities may significantly change in a manner rendering our clinical data insufficient for approval.</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FDA and comparable foreign regulatory authorities may undergo leadership changes, change their policies, issue additional regulations, or revise existing regulations, or take other actions,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we expect that certain product candidates may be regulated as a combination product that consists of both a biologic and a medical device. Developing and obtaining regulatory approval for combination products can pose unique challenges because they involve components that are regulated under different types of regulatory requirements and potentially by different FDA centers. As a result, such product candidates may raise regulatory, policy and review management challenges.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Although the FDA and similar foreign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40" w:right="379" w:bottom="1440" w:gutter="0" w:footer="0" w:header="0"/>
        </w:sectPr>
      </w:pPr>
    </w:p>
    <w:bookmarkStart w:id="28" w:name="page29"/>
    <w:bookmarkEnd w:id="28"/>
    <w:p>
      <w:pPr>
        <w:spacing w:after="0" w:line="140"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10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programs.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order to receive approval of its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spacing w:after="0" w:line="13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as product candidates progress through clinical trials to regulatory approval and commercialization, it is common that various aspects of the development program, such as manufacturing methods and formulation, are altered along the way in an effort to optimize safety, efficacy, stability, purity, yield and manufacturing batch size, minimize costs and achieve consistent quality and results. Such changes carry the risk that they will not achieve these intended objectives and/or may lead to delays and additional costs. Additionally, any changes we may make to our product candidates may cause such candidates to perform differently than in prior clinical trials, or could negatively affect our ability to utilize or interpret our existing data. Such changes could delay initiation or completion of clinical trials, lead to negative trial results, require the conduct of bridging studies or clinical trials or the repetition of one or more studies or clinical trials, increase development costs, delay potential regulatory approval and jeopardize our ability to commercialize our product candidates or generate revenue.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sooner than anticipated.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Act, as amended by the Healthcare and Education Reconciliation Act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reference products in a way that is similar to traditional generic substitution for non-biological products will depend on a number of uncertain marketplace and regulatory factors that are still developing.</w:t>
      </w:r>
    </w:p>
    <w:p>
      <w:pPr>
        <w:spacing w:after="0" w:line="122"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experiences unanticipated problems with our product candidates.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or a regulatory authority discovers previously unknown problems with a product, such as adverse events of unanticipated severity or frequency, or problems with the facilities where the product is manufactured, or if we are unable to comply with applicable regulatory requirements,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refusals to approve pending applications,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0" w:lineRule="exact"/>
        <w:rPr>
          <w:sz w:val="20"/>
          <w:szCs w:val="20"/>
          <w:color w:val="auto"/>
        </w:rPr>
      </w:pPr>
    </w:p>
    <w:p>
      <w:pPr>
        <w:spacing w:after="0" w:line="3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instance, the EU pharmaceutical legislation is currently undergoing a complete review process, in the context of the Pharmaceutical Strategy for Europe initiative, launched by the European Commission in November 2020. On April 26, 2023, the European Commission published a proposal for a new Directive and Regulation to revise the existing pharmaceutical legislation. The European Parliament and the Council of the EU adopted their respective positions on April 10, 2024 and June 4, 2025 and a common position on the text was agreed upon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December 11, 2025, in the context of subsequent inter-institutional trilogue negotiations. The proposed revisions remain to be adopted, and are not expected to become applicable before 2028.</w:t>
      </w:r>
    </w:p>
    <w:p>
      <w:pPr>
        <w:spacing w:after="0" w:line="104"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U.S. healthcare reform legislation or regulation may increase the difficulty and cost for us to obtain coverage for and commercialize any of our current or future product candidates and may adversely affect the prices we may set.</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of our current or future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of 2010, or the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the 2032 fiscal year, unless additional Congressional action is taken. Additionally,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cap on the Medicaid drug rebate, beginning January 1, 2024. The rebate was previously capped at 100% of a drug’s average manufacturer price.</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On August 16, 2022, the Inflation Reduction Act of 2022, or the IRA, was signed into law. Among other things, the IRA (i) directs the Department of Health and Human Services, or HHS to negotiate the price of certain high-expenditure, single-source drugs and biologics covered under Medicare; (ii) imposes rebates under Medicare Part B and Medicare Part D to penalize price increases that outpace inflation; (iii) reduces the out-of-pocket cap for Medicare Part D beneficiaries to $2,000 starting in 2025. The IRA permits the Secretary of HHS to implement many of these provisions through guidance, as opposed to regulation, for the initial years. HHS has and will continue to issue and update guidance as these programs are implemented. These provisions took effect progressively starting in fiscal year 2023. The Centers for Medicare &amp; Medicaid Services, or CMS, published the negotiated prices for the initial ten drugs, which will first be effective in 2026, and the subsequent 15 drugs, which will first be effective in 2027. The implementation of the IRA is currently subject to ongoing litigation that challenges the constitutionality of the IRA’s drug price negotiation program provisions. The outcome of this litigation as well as the effects of the IRA on the pharmaceutical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yet be fully determined but is likely to be significant. Additional drug pricing proposals could appear in future legislation.</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our product candidates, if approved. As part of this strategy, President Trump has proposed imposing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In addition, the Trump administration is pursuing traditional regulatory pathways to impose drug pricing policies, although proposed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both at the federal and state level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EU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4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2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6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any products for which we obtain regulatory approval. Such laws include:</w:t>
      </w:r>
    </w:p>
    <w:p>
      <w:pPr>
        <w:spacing w:after="0" w:line="126" w:lineRule="exact"/>
        <w:rPr>
          <w:sz w:val="20"/>
          <w:szCs w:val="20"/>
          <w:color w:val="auto"/>
        </w:rPr>
      </w:pPr>
    </w:p>
    <w:p>
      <w:pPr>
        <w:ind w:left="660" w:right="140" w:hanging="328"/>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13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using or causing to be made or used, a false record or statement material to a false or fraudulent claim, or from knowingly making or causing to be made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In addition, the government may assert that a claim including items or services resulting from a violation of the federal Anti-Kickback Statute constitutes a false or fraudulent claim for purposes of the federal False Claims Act;</w:t>
      </w:r>
    </w:p>
    <w:p>
      <w:pPr>
        <w:spacing w:after="0" w:line="135" w:lineRule="exact"/>
        <w:rPr>
          <w:sz w:val="20"/>
          <w:szCs w:val="20"/>
          <w:color w:val="auto"/>
        </w:rPr>
      </w:pPr>
    </w:p>
    <w:p>
      <w:pPr>
        <w:ind w:left="660" w:right="28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29" w:lineRule="exact"/>
        <w:rPr>
          <w:rFonts w:ascii="Times New Roman" w:cs="Times New Roman" w:eastAsia="Times New Roman" w:hAnsi="Times New Roman"/>
          <w:sz w:val="18"/>
          <w:szCs w:val="18"/>
          <w:color w:val="auto"/>
        </w:rPr>
      </w:pPr>
    </w:p>
    <w:p>
      <w:pPr>
        <w:ind w:left="660" w:right="1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w:t>
      </w:r>
    </w:p>
    <w:p>
      <w:pPr>
        <w:spacing w:after="0" w:line="133"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pharmaceutical companies to report information on the pricing of certain drug products; and some state and local laws that require the registration or pharmaceutical sales representatives.</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it, our business may be impaired.</w:t>
      </w:r>
    </w:p>
    <w:p>
      <w:pPr>
        <w:spacing w:after="0" w:line="131"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any of our current or future product candidates, if approved, will depend in part on the extent to which governmental authorities and health insurers establish coverage, adequate reimbursement levels and favorable pricing policies.</w:t>
      </w:r>
    </w:p>
    <w:p>
      <w:pPr>
        <w:spacing w:after="0" w:line="10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any of our current or future product candidates, if approved. Our ability to achieve coverage and acceptable levels of reimbursement for our products by third-party payors will have an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or other cost-sharing that patients find unacceptably high.</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a less expensive competitor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or implement prior authorization or step therapy programs for new or innovative devices or drug therapies before they will reimburse patients who use such therapies, which may be time-consuming or costly for patients and lead to a reduction in revenue. It is difficult to predict at this time what third-party payors will decide with respect to the coverage and reimbursement for any of our current or future product candidates.</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any of our current or future product candidates, if approved in these jurisdictions. In many countries, the prices of medical products are subject to varying price control mechanisms as part of national health systems. Other countries allow companies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and regulatory changes. The downward pressure on healthcare costs in general, and prescription drugs, surgical procedures and other treatments in particular, has become very intense. As a result, increasingly high barriers are being erected to the entry of new products. See “Risks Related to Government Regulation—</w:t>
      </w:r>
      <w:r>
        <w:rPr>
          <w:rFonts w:ascii="Times New Roman" w:cs="Times New Roman" w:eastAsia="Times New Roman" w:hAnsi="Times New Roman"/>
          <w:sz w:val="18"/>
          <w:szCs w:val="18"/>
          <w:i w:val="1"/>
          <w:iCs w:val="1"/>
          <w:color w:val="auto"/>
        </w:rPr>
        <w:t>Current and future U.S. healthcare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or regulation may increase the difficulty and cost for us to obtain coverage for and commercialize any of our current or future product candidates and may adversely affect the prices we may set</w:t>
      </w:r>
      <w:r>
        <w:rPr>
          <w:rFonts w:ascii="Times New Roman" w:cs="Times New Roman" w:eastAsia="Times New Roman" w:hAnsi="Times New Roman"/>
          <w:sz w:val="18"/>
          <w:szCs w:val="18"/>
          <w:color w:val="auto"/>
        </w:rPr>
        <w:t>” for additional related information.</w:t>
      </w:r>
    </w:p>
    <w:p>
      <w:pPr>
        <w:spacing w:after="0" w:line="1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 (“EU member states”), the pricing of prescription medicinal product is subject to governmental control. EU member states are free to restrict the range of pharmaceutical products for which their national health insurance systems provide reimbursement, and to control the prices and reimbursement levels of pharmaceutical products for human use. In these countries, pricing negotiations with governmental authorities can take considerable time after receipt of regulatory approval for a medicinal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This Health Technology Assessment (“HTA process”), which is currently governed by the national laws of the individual EU member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13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Brexit could lead to legal uncertainty and potentially divergent national laws and regulations, including those related to the pricing of prescription pharmaceuticals, as the United Kingdom (“UK”) determines which EU laws to replicate or replace. If the UK were to significantly alter its regulations affecting the pricing of prescription pharmaceuticals, we could face significant new costs.</w:t>
      </w:r>
    </w:p>
    <w:p>
      <w:pPr>
        <w:spacing w:after="0" w:line="11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changes or reductions in agency personnel,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or comparable foreign regulatory authorities may also slow the time necessary for the review and approval of applications for clinical trial or marketing authorization, which would adversely affect our business. For example, in previous years, including in 2018 and 2019 and 2025, the U.S. government shut down and certain regulatory agencies, such as the FDA and the SEC,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or otherwise affect our ability to progress development of our product candidates or obtain regulatory approval for our product candidates.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if there is a significant change or reduction in agency personnel, or if funding shortages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solely own any issued patents or pending patent applications. Therefore, our ability to obtain and protect our patent rights, and protect other proprietary rights, is uncertain, exposing us to the possible loss of competitive advantage.</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success depends, and will continue to depend, in large part on our ability to obtain and maintain patent protection for our platform technologies, programs, and their uses, as well as our ability to operate without infringing on or violating the proprietary rights of others. Our ability to protect our technologies from unauthorized making, using, selling, offering to sell, or importing by third parties may depend on the extent to which we have rights under valid and enforceable patents that cover these activities. We rely, and will continue to rely, upon a combination of patents, trademarks, trade secret protection, confidentiality agreements, and licensing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80"/>
          </w:cols>
          <w:pgMar w:left="320" w:top="1440" w:right="399" w:bottom="1440" w:gutter="0" w:footer="0" w:header="0"/>
        </w:sectPr>
      </w:pPr>
    </w:p>
    <w:bookmarkStart w:id="37" w:name="page38"/>
    <w:bookmarkEnd w:id="37"/>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collaboration arrangements to protect and expand the intellectual property related to our programs and technologies. While we do not currently solely own any patents or patent applications, we in-license certain patent rights from Paragon pursuant to those certain License Agreements, dated each of April 28, 2025 (the “CR-001 License Agreement”) and November 5, 2025 (the “CR-002 License Agreement”), each by and between us and Paragon (collectively, the “Paragon License Agreements”) relating to certain of our product candidates, and patent rights from Sichuan Kelun-Biotech Biopharmaceutical Co., Ltd. (“Kelun”) pursuant to that certain License and Collaboration Agreement, dated December 2, 2025, by and between us and Kelun relating to CR-003 outside of mainland China, Hong Kong, Macau and Taiwan. Paragon has filed and we, alone and/or jointly with Paragon, have filed or intend to file provisional patent applications directed to antibodies that target PD-1 and VEGF, including, for example, applications covering composition of matter, dosing, pharmaceutical formulations, and methods of using such antibodies, including, but not limited to, CR-001. In addition, Paragon has filed and we, alone and/or jointly with Paragon, intend to file provisional patent applications directed to ADCs, including, for example, applications covering composition of matter, dosing, pharmaceutical formulations, and methods of using such antibodies, including, but not limited to, CR-002. Kelun has filed, and we and Kelun, alone and/or jointly, intend to file patent applications directed to ADCs, including, for example, applications covering composition of matter, dosing, pharmaceutical formulations, and methods of using such antibodies, including, but not limited to, CR-003. However, we or our licensors may not be able to protect our owned or in-licensed intellectual property rights throughout the world and the legal systems in certain countries may not favor enforcement or protection of patents, trade secrets, and other intellectual property. Filing, prosecuting, and defending patents on programs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not have patent protection and/or pending patent applications.</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intellectual property portfolio is at an early stage. We do not currently solely own any issued patents or pending patent applications. Our in-licensed or future solely owned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If we do not obtain patent coverage for the work we are conducting, or if we obtain such rights but they are invalidated or rendered unenforceable, we may be unable to exclude competitors from pursuing and marketing the same or similar product candidates. Other risks we face if we are not able to obtain and maintain patent coverage for our product candidates are the reduction in valuation of our product candidates, and ultimately of us as a company, by potential investors, and our inability to assert claims for infringement against third parties or counterclaim against such third parties or negotiate more advantageous settlement parameters. Further, any issued patents that we may license or own covering our programs could be narrowed or found invalid or unenforceable if challenged in court and/or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may be reduced. Thus, the patents that we may own and/or license may not afford us any meaningful competitive advantage.</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and will continue to rely, in part on confidentiality agreements and, if applicable, material transfer agreements, consulting agreements, or other similar agreements prior to beginning research and/or disclosing proprietary information with parties, such as collaborators, employees, consultants, outside scientific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collaborators, and sponsored researchers and other advisors. We also enter into confidentiality and invention or patent assignment agreements with our employees and consultants under which they are obligated to maintain confidentiality and to assign their inventions to us. These agreements typically limit the rights of the third parties to use or disclose our confidential information, including our trade secrets. These agreements may not effectively prevent disclosure of confidential information and may not provide an adequate remedy in the event of unauthorized disclosure of confidential information. We may need to share our proprietary information, including trade secrets, with current or future business partners, licensors,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disclosed or misappropriated our trade secrets, or securing title to an employee- or consultant-developed invention if a dispute arises, is challenging and the outcome is unpredictable. In addition, courts outside of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enforceability of confidentiality agreements may vary from jurisdiction to jurisdiction. 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Lastly, if our trademarks and trade names are not registered or adequately protected, then we may not be able to build name recognition in our markets of interest and our business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necessary rights to our programs through acquisitions and in-licenses, our business may be materially harmed.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our development programs currently rely, and will continue to rely, on intellectual property rights in-licensed from Paragon and Kelun under each of the Paragon License Agreements and Kelun License Agreement, respectively, and may in the future require the use of proprietary rights held by third parties, the growth of our business may depend in part on our ability to acquire, in-license, or use these third-party proprietary rights. We may in the future be unable to acquire or in-license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commercially reasonable terms or at all. If we are unable to successfully obtain rights to required third-party intellectual property rights or maintain the existing intellectual property rights we do obtain, our ability to commercialize any of our targeted therapeutics, if approved, would likely be delayed, or we may have to abandon development of the relevant program, which could have a material adverse effect on our business, financial condition, results of operations, and prospects.</w:t>
      </w:r>
    </w:p>
    <w:p>
      <w:pPr>
        <w:spacing w:after="0" w:line="1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of our current or future in-licensed patent families were or may be drafted, filed, and prosecuted by our current or future licensors, including Paragon and Kelun, and even where we now control the right to prosecution of certain in-licensed patent families, we are and may in the future be required to solicit input and consider comments from Paragon, Kelun or other future licensors. Additionally, while we have obtained or intend to obtain the right to control the prosecution, defense, maintenance, and enforcement of certain patents relating to our programs, there may be times when the filing and prosecution activities for patents and patent applications relating to our programs are solely or substantially controlled by our future licensors or collaboration partners. If we, Paragon, Kelun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selling, and importing competing products. In addition, even if patents are issued from patent applications prosecuted by our licensors, our licensors may determine not to pursue litigation against third parties that are infringing these patents or may pursue such litigation less aggressively than we would. In addition, even where we are granted the right to control patent prosecution of patents and patent applications we have licensed to and from third parties, we may still be adversely affected or prejudiced by actions or inactions of our licensees, our current or future licensors and their counsel that took place prior to the date upon which we assumed control over patent prosecution.</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current or future licensors, including Paragon and Kelun, may rely on third-party consultants or collaborators or on funds from third parties such that our current or future licensors are not the sole and exclusive owners of the patents we in-license. If other third parties have ownership rights to our current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that we may be unable to obtain licenses at a reasonable cost or on reasonable terms, if at all. Even if we are able to obtain a license, it may be non-exclusive, including with respect to the use, field, or territory of the licensed intellectual property,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Disputes may arise between us and our current or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current or future licensors or partners; and the priority of invention of patented technology. If we or our current or future licensors breach the terms of our license agreements, such breach may have a material adverse effect on our business and the commercialization efforts for our programs.</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collaboration with Kelun and any collaboration arrangements that we may enter into in the future may not be successful, which could adversely affect our ability to develop and commercialize our products.</w:t>
      </w:r>
    </w:p>
    <w:p>
      <w:pPr>
        <w:spacing w:after="0" w:line="1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current or future collaborations, including our current collaboration with Kelun, may not be successful. The success of our collaboration arrangements will depend heavily on the efforts and activities of our collaborators. Collaborations are subject to numerous risks, which may include that:</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left="660" w:right="3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products or that results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spacing w:after="0" w:line="107" w:lineRule="exact"/>
        <w:rPr>
          <w:rFonts w:ascii="Times New Roman" w:cs="Times New Roman" w:eastAsia="Times New Roman" w:hAnsi="Times New Roman"/>
          <w:sz w:val="18"/>
          <w:szCs w:val="18"/>
          <w:color w:val="auto"/>
        </w:rPr>
      </w:pPr>
    </w:p>
    <w:p>
      <w:pPr>
        <w:ind w:left="660" w:right="12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 or products;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or may need to file claims to protect our intellectual property, which could result in substantial costs and liability and prevent us from commercializing our potential products.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if found to be valid and enforceable, could be alleged to render one or more of our product candidates infringing. If a third party successfully brings a claim against us, we may be required to pay substantial damages, be forced to abandon any affected product candidate and/or seek a license from the patent holder. In addition, any intellectual property claims (e.g., patent infringement or trade secret misappropriation) brought against us, whether or not successful, may cause us to incur significant legal expenses and divert the attention of our management and key personnel from other business concerns. We cannot be certain that our current or future owned or in-licensed patent applications and patents, if filed and issued, will not be challenged by others, whether in the course of litigation or in agencies like the USPTO or foreign administrative bodies.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current or future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and/or that our patents are invalid and/or unenforceable.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Further, we may be required to protect our future patents, if filed and issued, through procedures created to challenge the validity of a patent before administrative bodies in the United States such as the USPTO or abroad. Such mechanisms include re-examination, post grant review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3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if our programs are found to infringe the intellectual property rights of third parties, these third parties may assert infringement claims against our current or future licensors or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1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industry, in addition to our employees, we engage the service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may litigate to defend itself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do not currently own or in-license any granted patents, if we obtain such patents in the future, changes in either the patent laws or interpretation of patent laws in the United States, including patent reform legislation such as the Leahy-Smith Act could increase the uncertainties and costs surrounding the prosecution of our owned and in-licensed patent applications, if any, and the maintenance, enforcement, or defense of our owned and in-licensed issued patents, if any. The Leahy-Smith Act includes a number of significant changes to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if any, and the enforcement or defense of our issued patents, if any, all of which could have a material adverse effect on our business, financial condition, results of operations, and prospects. Additionally,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w:t>
      </w:r>
    </w:p>
    <w:p>
      <w:pPr>
        <w:spacing w:after="0" w:line="1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recently held that Amgen’s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a European Unified Patent Court (“UPC”) entered into force on June 1, 2023. The UPC is a common patent court that hears patent infringement and revocation proceedings effective for EU Member States. The broad geographic reach of the UPC could enable third parties to seek revocation of any of our future owned or in-licensed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or our current or future licensors may decide to opt out from the UPC any future European patent applications that we or our current or future licensors may file and any patents we or such licensors may obtain. If certain formalities and requirements are not met, however, such European patents and patent applications could be challenged for non-compliance and brought under the jurisdiction of the UPC. We cannot be certain that any of our future owned or in-licensed European patents and patent applications will avoid falling under the jurisdiction of the UPC, even if we or our current or future licensors decide to opt out of the UPC.</w:t>
      </w:r>
    </w:p>
    <w:p>
      <w:pPr>
        <w:spacing w:after="0" w:line="131"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our current or future owned or in-licensed patents and patent applications covering our programs, our competitive position would be adversely affected.</w:t>
      </w:r>
    </w:p>
    <w:p>
      <w:pPr>
        <w:spacing w:after="0" w:line="13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the patent’s prosecution history, and in some cases certain extrinsic evidence of the meaning of terms in a claim.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United States or abroad that we consider relevant may be incorrect. Our failure to identify and correctly interpret relevant patents may negatively impact our ability to develop and market our products.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future owned or in-licensed issued patents or our current or future owned or in-licensed pending applications, if filed, or that we were the first to invent the technology. Our competitors may have filed, and may in the future file, patent applications covering products or technology similar to ours. Any such patent application may have priority over our current or future owned or in-licensed patent applications or patents, if filed and issued, which could require us to obtain rights to issued patents covering such technologies.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future owned or in-licensed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our product candidates for an adequate amount of time.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or international Patent Cooperation Treaty Filing. The patent term of a U.S. patent may be lengthened by patent term adjustment, which compensates a patentee for administrative delays by the USPTO in granting a patent, or may be shortened if a patent is terminally disclaimed over an earlier-filed patent.</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in-licensed patent portfolio may not provide us with sufficient rights to exclude others from commercializing products similar or identical to ours.</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a Patent Term Extension (“PTE”) of up to five years beyond the normal expiration of the patent to compensate patent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loss of an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 - 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anticipate prosecuting patents, and we likewise anticipate applying for such extensions.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granting of a PTE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In addition, to the extent we wish to pursue a PTE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technology we currently license from Paragon and Kelun and any future technology we may license from various third parties in the future, may be subject to retained rights.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current and future licensors may retain certain rights under the relevant agreements with us, including the right to use or license the licensed technology outside of the scope of our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while we seek to obtain certain restrictions on our current or future licensors’ abilities to develop products that could be competitive with ours, these restrictions may not prevent the possible future license or development by our current or future licensors, including Paragon or Kelun, of certain technology that could lead to product candidates competitive with ours. This could have a material adverse effect on our competitive position,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licensing arrangements with Paragon and Kelun under the Paragon License Agreement and Kelun License Agreement and may in the future rely on other intellectual property licensed from third parties. If we are unable to maintain our current collaborations or licensing arrangements, or if our collaborations or licensing arrangements are not successful, our business could be negatively impacted.</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rely on our current and future licensing arrangements with Paragon and Kelun under the Paragon License Agreements and Kelun License Agreement for intellectual property rights underlying our current product candidates, and may in the future rely on licensing arrangements with other third parties for rights to a substantial portion of our discovery capabilities and product candidates, including for CR-001 and CR-002.</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current or future collaborations or licensing arrangements may not be successful, and any success will depend heavily on the efforts and activities of such collaborators or licensors. If any of our current or future collaborators or licensors experiences delays in performance of, or fails to perform, its obligations under their agreement with us, disagrees with our interpretation of the terms of such agreement, or terminates their agreement with us, our programs could be adversely affected. If we fail to comply with any of the obligations under our current or future collaborations or license agreements, including payment terms and diligence terms, such as requirements to use commercially reasonable efforts to develop and commercialize products covered by the licensed intellectual property rights in our respective territory, our current or future collaborators or licensors may have the right to terminate such agreements, in which event we may lose intellectual property rights and may not be able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manufacture, market, or sell the products covered by our agreements or may face other penalties under our agreements. Our current or future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our current or future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our strategy, we plan to evaluate additional opportunities to enhance our capabilities and expand our development pipeline or provide development or commercialization capabilities that complement ours. We may not realize the benefits of such collaborations or licensing arrangements. Any of these relationships may require us to incur non-recurring and other charges, increase our near and long-term expenditures, issue securities that dilute our existing shareholders, or disrupt our management and business.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13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any marketing applications we may submit. We cannot assure you that upon inspection by a given regulatory authority, such regulatory authority will determine that any of our clinical trials comply with GCP regulations. In addition, our clinical trials must be conducted with products produced under cGMP regulations or similar foreign requirements.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application we submit. Any such delay or rejection could prevent us from commercializing our product candidates.</w:t>
      </w:r>
    </w:p>
    <w:p>
      <w:pPr>
        <w:spacing w:after="0" w:line="1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3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who operate in China, which may expose us to additional risks.</w:t>
      </w:r>
    </w:p>
    <w:p>
      <w:pPr>
        <w:spacing w:after="0" w:line="17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In addition, we currently rely on foreign CROs and CMOs, including WuXi Biologics (Hong Kong) Limited (“WuXi”) for CR-001 and CR-002, for formulation and manufacturing of our stage 1 clinical trial materials, and will likely continue to rely on foreign CROs and CMOs in the future. Kelun is also based in China. On December 18, 2025, President Trump signed into law the National Defense Authorization Act of 2026 (“NDAA”), which includes</w:t>
      </w:r>
    </w:p>
    <w:p>
      <w:pPr>
        <w:spacing w:after="0" w:line="2" w:lineRule="exact"/>
        <w:rPr>
          <w:sz w:val="20"/>
          <w:szCs w:val="20"/>
          <w:color w:val="auto"/>
        </w:rPr>
      </w:pPr>
    </w:p>
    <w:p>
      <w:pPr>
        <w:ind w:firstLine="8"/>
        <w:spacing w:after="0" w:line="268" w:lineRule="auto"/>
        <w:tabs>
          <w:tab w:leader="none" w:pos="1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851 often referred to as “the BIOSECURE Act”. Under the BIOSECURE Act, U.S. government agencies cannot (1) buy or obtain biotechnology equipment or services provided by a “biotechnology company of concern” (“BCC”); (2) enter into, extend, or renew a contract with any entity using biotechnology equipment or services provided by a BCC; or (3) expend loan or grant funds for biotechnology equipment or services provided by a BCC, whether directly or through a loan or grant recipient. The BIOSECURE Act does not bar a U.S. company from all federal contracts or grants simply because it does business with a BCC. The restriction applies only when a federal contract or grant would procure covered biotechnology equipment or services—directly or indirectly—from a designated company. While WuXi is not currently listed as a BCC, earlier BIOSECURE drafts explicitly named it as a BCC. Additionally, on December 18, 2025, the chairmen of multiple Senate and House committees, including the House Select Committee on China, sent a letter to the Department of Defense recommending that WuXi be added to the Department of Defense’s 1260H list, which would make WuXi a BCC.</w:t>
      </w:r>
    </w:p>
    <w:p>
      <w:pPr>
        <w:spacing w:after="0" w:line="1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However, there are certain safe harbors, waivers, and exceptions to the BIOSECURE Act. The BIOSECURE Act provides a five-year safe harbor for existing contracts with companies later designated as BCCs under the 1260H or OMB lists. The five-year window begins when the Federal Acquisition Regulations (“FAR”) are updated to implement the Act’s requirements, allowing entities five years to fulfill current contracts, transition to alternative suppliers, and wind down business with BCCs. This safe harbor is unavailable for existing contracts with companies named on the 1260H list as of December 18, 2025. Further, “biotechnology equipment or services” excludes items previously, but no longer, produced by BCCs. Therefore, an entity may retain and continue to use equipment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technology produced by a BCC prior to the BIOSECURE Act’s enactment. Additionally, the Act allows drug manufacturers to remain eligible for the Medicare and Medicaid Drug Part B Rebate Programs if the BIOSECURE Act restrictions are the only reason they cannot enter the VA master agreement required by the Veterans Health Care Act of 1992 (38 U.S.C. § 8126). Finally, the head of an executive agency may waive the Act’s restrictions for up to 365 days, with approval of the Director of the OMB. This waiver can be renewed once for an additional 180 days.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Foreign CMOs may be subject to U.S. legislation, including the BIOSECURE Act,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April 2025, the United States government imposed significant tariffs on imports from China and other countries and may impose more restrictions on goods, including biologically derived substances, manufactured in or imported from China or impose other restrictions on companies’ ability to work with Chinese biotech companies. Certain of these tariffs have gone into effect. There remains substantial uncertainty regarding future tariff rates and the countries and products to which such tariffs would apply. To the extent these or future tariffs are applicable to the material we import from China and other countries, our financial condition could be adversely affected.</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Furthermore, if any of our China-based collaborators or vendors—including WuXi—are designated a BCC under the BIOSECURE Act, our operations and financial condition could be adversely affected by delays or higher costs stemming from U.S. federal restrictions on contracts, grants, and loans involving BCCs, as well as other applicable foreign regulatory requirements. In addition, while we have established relationships with CROs and CMOs outside of China, moving to those suppliers in the event of a geopolitical instability affecting our collaborators in China could introduce delays into our development programs.</w:t>
      </w:r>
    </w:p>
    <w:p>
      <w:pPr>
        <w:spacing w:after="0" w:line="13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CR-001 and CR-002 programs, and expect to have a sole source relationship for the supply of the CR-003 program. If there should be any disruption in such supply arrangements, including any adverse events affecting our sole supplier, it could have a negative effect on the clinical 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drugs, operating restrictions, and criminal prosecutions, any of which could significantly and adversely affect supplies of our product candidates or drugs and harm our business and results of operations.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our CMOs may experience manufacturing difficulties due to resource constraints, supply chain issues,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05"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1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and, as of December 31, 2025, we had 44 full-time employees.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contracts with other entities that may limit their availability to us. If we are unable to continue to attract and retain high quality personnel, our ability to pursue our growth strategy will be limited.</w:t>
      </w:r>
    </w:p>
    <w:p>
      <w:pPr>
        <w:spacing w:after="0" w:line="10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3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2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10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commercial collaborators, principal investigators, CROs, CMOs, suppliers, and vendors acting for or on our behalf may engage in misconduct or other improper activities. Misconduct by these parties could include intentional, reckless and/or negligent conduct or disclosure of unauthorized activities to us that violate: (i) the laws and regulations of the FDA and other comparable foreign regulatory requirements, including those laws that require the reporting of true, complete and accurate information to such authorities,</w:t>
      </w:r>
    </w:p>
    <w:p>
      <w:pPr>
        <w:spacing w:after="0" w:line="3" w:lineRule="exact"/>
        <w:rPr>
          <w:sz w:val="20"/>
          <w:szCs w:val="20"/>
          <w:color w:val="auto"/>
        </w:rPr>
      </w:pPr>
    </w:p>
    <w:p>
      <w:pPr>
        <w:ind w:right="60" w:firstLine="8"/>
        <w:spacing w:after="0" w:line="252"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 including cGMP requirements or similar foreign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13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of our CROs, manufacturers, other contractors or consultants,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spacing w:after="0" w:line="12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w:t>
      </w:r>
    </w:p>
    <w:p>
      <w:pPr>
        <w:spacing w:after="0" w:line="13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Certain members of our workforce are remote, which may create additional risks for our information technology systems and data because our employees who work remotely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it,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(or a third party upon whom we rely) experiences a security incident or is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22" w:lineRule="exact"/>
        <w:rPr>
          <w:sz w:val="20"/>
          <w:szCs w:val="20"/>
          <w:color w:val="auto"/>
        </w:rPr>
      </w:pPr>
    </w:p>
    <w:p>
      <w:pPr>
        <w:jc w:val="both"/>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80"/>
          </w:cols>
          <w:pgMar w:left="320" w:top="1440" w:right="399" w:bottom="1440" w:gutter="0" w:footer="0" w:header="0"/>
        </w:sectPr>
      </w:pPr>
    </w:p>
    <w:bookmarkStart w:id="53" w:name="page54"/>
    <w:bookmarkEnd w:id="53"/>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17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shareholders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enacted the Inflation Reduction Act of 2022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which includes provisions that allow for the immediate expensing of domestic U.S. research and development expenses, a general requirement to reduce the deduction for research and development expense by any research credit taken, and other changes to the U.S. taxation of profits derived from foreign operations. The impact of this newly enacted law on our tax position will depend on how the provision is implemented and interpreted by the Internal Revenue Service and other regulatory authorities. In addition, we have no assurance as to whether, when and how this provision may be subject to further amendment or repeal. Such changes, among others, may adversely affect our effective tax rate, results of operation, and general business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may not realize the benefits of such acquisitions.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12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could have an adverse effect on our ability to pay our operational expenses or make other payments,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Ordinary Shares</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Preferred directors elected by the holders of our Series A Preferred Shares have the ability to control or significantly influence all matters submitted to our board of directors for approval.</w:t>
      </w:r>
    </w:p>
    <w:p>
      <w:pPr>
        <w:spacing w:after="0" w:line="10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Pursuant to our Certificate of Designation of Preferences, Rights and Limitations of the Series A Non-Voting Convertible Preferred Shares (the “Series A Certificate of Designation”), at all times when at least 30% of the originally issued Series A Preferred Shares remains issued and outstanding: (i) the holders of our Series A Preferred Shares, exclusively and voting together as a separate class on an as-converted to ordinary shares basis, are entitled to elect two preferred directors (the “Preferred Directors”); and (ii) the holders of our ordinary shares and of any other class or series of voting shares (including our Series A Preferred Shares), exclusively and voting together as a single class on an as-converted to ordinary shares basis, are entitled to elect the balance of the total number of directors of our board. Each Preferred Director is entitled to three votes on each matter presented to our board of directors.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the completion of the Merger, Peter Harwin and Jonathan Violin were elected as the two Preferred Directors by the holders of our Series A Preferred Shares. These two directors, in the aggregate, have six votes on each matter presented to the board of directors, representing 60% of the total votes of the board. As a result, these two Preferred Directors are able to control or significantly influence all matters submitted to our board of directors for approval, including business plans and policies and the appointment and removal of our officers. The holders of our Series A Preferred Shares thereby have influence with respect to the composition of our board of directors and, to the extent they influence the actions of the Preferred Directors, if at all, actions of our board of directors. An affiliate of Fairmount is the sole holder of our Series A Preferred Shares. Mr. Harwin is a Managing Member at Fairmount, and Dr. Violin is a Venture Partner at Fairmount.</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decision to enter into or amend any Paragon Option Agreement (or similar agreements) or license agreement with Paragon is subject to the approval of our board of directors. As noted above, our board of directors includes two Preferred Directors that are affiliated with and elected by Fairmount. As a result, Fairmount may exert influence on the decisions of our board of directors and management, including as it relates to the Paragon Option Agreements and decisions to exercise options or enter into license agreements thereunder, which interests may differ from the interests of our shareholders given Fairmount’s interest in both us and Paragon, and indirect interest in Parascent. All directors of our board of directors owe fiduciary duties pursuant to Cayman Islands law, and are expected to comply with their respective fiduciary duties under Cayman Islands law relevant to related party transactions. In addition, we have adopted a related party transaction approval policy pursuant to which the Audit Committee of our board of directors is responsible for the review, consideration, and approval or ratification of related party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governed by Cayman Islands law, and certain provisions of our Articles of Association have anti-takeover implications.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organizational documents are governed by Cayman Islands law, and certain provisions in our Articles of Association may discourage, delay, or prevent a merger, acquisition, or other change in control of the company that shareholders may consider favorable, including transactions in which our ordinary shareholders might otherwise receive a premium price for their ordinary shares. These provisions could also limit the price that investors might be willing to pay in the future for our ordinary shares, thereby depressing the market price of our ordinary shares. In addition, because our board of directors is responsible for appointing the members of our management team, these provisions may frustrate or prevent any attempts by any shareholders to replace or remove our current management by making it more difficult for shareholders to replace members of our board of directors. Among other things, these provisions:</w:t>
      </w:r>
    </w:p>
    <w:p>
      <w:pPr>
        <w:spacing w:after="0" w:line="13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such that not all members of our board of directors are elected at one time;</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directors to be changed only by resolution of our board of directors, subject to the terms of the Certificate of Designation of our Series A Preferred Shares (the “Certificate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shareholders can remove directors from our board of directors;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advance notice requirements for nominations for election to the board of directors or for proposing matters that can be acted on at shareholder meetings;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general meeting of shareholders;</w:t>
      </w:r>
    </w:p>
    <w:p>
      <w:pPr>
        <w:spacing w:after="0" w:line="171"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to issue preferred shares without shareholder approval, which could be used to institute a “poison pill” that would work to dilute the share ownership of a potential hostile acquirer, effectively preventing acquisitions that have not been approved by our board of directors; and</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special resolution passed by the affirmative vote of not less than two-thirds of the votes cast at a general meeting to amend provisions of the Articles of Association.</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the Certificate of Designation relating to our Series A Preferred Shares may delay or prevent a change in control. At any time while at least 30% of the originally issued Series A Preferred Shares remain issued and outstanding, we may not consummate a Fundamental Transaction (as defined in the Certificate of Designation) or any merger or consolidation with or into another entity or any share sale to, or other business combination in which our shareholders immediately before such transaction do not hold at least a majority of the share capital immediately after such transaction, without the affirmative vote of the Preferred Directors, acting together, or a simple majority of the then issued and outstanding Series A Preferred Shares. This provision of the Certificate of Designation may make it more difficult us to enter into any of the aforementioned transactions, even potential change of control transactions that could offer a premium over market value to the ordinary shareholders, as it would require the separate consent of the Preferred Directors, acting together, or a simple majority of the issued and outstanding Series A Preferred Shares.</w:t>
      </w:r>
    </w:p>
    <w:p>
      <w:pPr>
        <w:spacing w:after="0" w:line="13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designate the courts of the Cayman Islands as the sole and exclusive forum for certain types of actions and proceedings that may be initiated by our shareholders, which could limit your ability to obtain a favorable judicial forum for disputes with us or our directors, officers or other employees.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 that, unless we consent in writing to the selection of an alternative forum, the courts of the Cayman Islands shall have exclusive jurisdiction over any claim or dispute arising out of or in connection with our Articles of Association or otherwise related in any way to each shareholder’s shareholding in us, including, but not limited to: (i) any derivative action or proceeding brought on behalf of us; (ii) any action asserting a claim of breach of any fiduciary or other duty owed by any of our current or former directors, officers or other employees to us or our shareholders; (iii) any action asserting a claim arising pursuant to any provision of the Companies Act or our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Articles of Association does not apply to actions or suits brought to enforce any liability or duty created by the Securities Act of 1933, as amended, the Securities Exchange Act of 1934, or any claim for which the federal district courts of the United States of America are, as a matter of the laws of the United States of America, the sole and exclusive forum for determination of such a claim.</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are entitled, without proof of special damages, to the remedies of injunction, specific performance, or other equitable relief for any threatened or actual breach of the selection of the courts of the Cayman Islands as exclusive forum.</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80"/>
          </w:cols>
          <w:pgMar w:left="320" w:top="1440" w:right="399" w:bottom="1440" w:gutter="0" w:footer="0" w:header="0"/>
        </w:sectPr>
      </w:pPr>
    </w:p>
    <w:bookmarkStart w:id="56" w:name="page57"/>
    <w:bookmarkEnd w:id="56"/>
    <w:p>
      <w:pPr>
        <w:spacing w:after="0" w:line="1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our Articles of Association to be inapplicable or unenforceable in an action, we may incur additional costs associated with resolving the dispute in other jurisdictions, which could have adverse effect on our business and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shareholders could cause our share price to decline.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our shareholders sell, or indicate an intention to sell, substantial amounts of our ordinary shares in the public market after legal restrictions on resale lapse, the trading price of our ordinary shares could decline. In addition, our ordinary shares that are subject to our outstanding options will become eligible for sale in the public market to the extent permitted by the provisions of various vesting agreements and Rules 144 and 701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pay any cash dividends in the foreseeable future. The current expectation is that we will retain our future earnings, if any, to fund the development and growth of our business. As a result, capital appreciation, if any, of our ordinary shares will be your sole source of gain, if any, for the foreseeable future.</w:t>
      </w:r>
    </w:p>
    <w:p>
      <w:pPr>
        <w:spacing w:after="0" w:line="11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shareholders have the ability to control or significantly influence all matters submitted to our shareholders for approval.</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shareholders beneficially own a significant percentage of our outstanding ordinary shares. As a result, if these shareholders were to choose to act together, they would be able to control or significantly influence all matters submitted to our shareholders for approval, as well as our management and affairs. For example, these shareholders,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shareholders may desire.</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share price and trading volume could decline.</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equity research analysts publish about us and our business. Equity research analysts may elect to not provide research coverage of our ordinary shares, and such lack of research coverage may adversely affect the market price of our ordinary shares. If we do have equity research analyst coverage, we will not have any control over the analysts or the content and opinions included in their reports. The price of our ordinary shares could decline if one or more equity research analysts downgrade our shares or issue other unfavorable commentary or research. If one or more equity research analysts ceases coverage of us or fails to publish reports on us regularly, demand for our ordinary shares could decrease, which in turn could cause our share price or trading volume to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(“NOL”) carryforwards and other tax attributes may be limited, including as a result of the Merger.</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GlycoMimetics incurred losses during its history, and we do not expect to become profitable in the near future and may never achieve profitability. As of December 31, 2024, GlycoMimetics had NOL carryforwards of approximately $351.8 million, and approximately $10.9 million of research and development credits that may be used to offset future taxable income. GlycoMimetics had operating loss carryforwards of $351.8 million generated prior to 2018, which will expire beginning in 2025 if not utilized. Under current law, GlycoMimetics’ U.S. federal NOLs of $351.8 million incurred in tax years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Internal Revenue Code of 1986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of a company’s shares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2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0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 or at the commercial stage, and our product liability insurance may not cover all damages from such claims.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have obtained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3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factors outside of our control, including, but not limited to, economic downturns, inflation, increases in interest rates, natural disasters, public health crises, political crises, geopolitical events, or other macroeconomic conditions, which could have a material and adverse effect on our results of operations and financial condition.</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Broad market and industry factors may negatively affect our operations and the market price of our ordinary shares, including, but not limited to, economic downturns, inflation, increases in interest rates, natural disasters, public health crises, political crises, geopolitical events, or other macroeconomic conditions. 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Trump Administration, changes to fiscal and monetary policy or government budget dynamics (particularly in the pharmaceutical and biotech areas), tighter credit, fluctuating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In 2025, the United States has announced reciprocal tariffs on a variety of countries and products, some of which have been implemented. There remains substantial uncertainty regarding future tariff rates and the countries and products to which such tariffs would apply.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For example, trade policies and geopolitical disputes (including as a result of China-Taiwan relations) and other international conflicts can result in tariffs, sanctions, and other measures that restrict international trade, and can materially adversely affect our business, particularly if these measures occur in regions where we source our components or raw materials. In addition, tensions between the United States and China have led to a series of tariffs being imposed by the United States on imports from China mainland, as well as other business restrictions. Tariffs increase the costs of the components and raw materials we source. Countries may also adopt other measures, such as controls on imports or exports of goods, technology, or data, that could adversely impact our operations and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Moreover, fires and other natural disasters may increase in frequency and severity over time due to climate change. If these earthquakes, fires, other natural disasters and similar unforeseen events beyond our control were to occur, it may be difficult or, in certain cases, impossible for us to continue our business for a substantial period of time. If such an event were to affect our supply chain, it could have a material adverse effect on our ability to initiate or expand our clinical trials, our development plans and business.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sustainability or environmental, social and corporate governance (“ESG”) matters or our reporting of such matters.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investors, employees, collaborators, and other stakeholders are focused on sustainability and ESG matters. Moreover, certain governmental authorities have proposed or adopted, and may continue to propose or adopt, certain mandated ESG reporting requirements, which, to the extent adopted, could significantly increase our compliance and reporting costs. In parallel, anti-ESG sentiment has gained momentum in the United States and in other jurisdictions, with the U.S. federal government and several states having enacted or proposed “anti-ESG” policies or legislation. We may be perceived to not be properly balancing these conflicting demands with respect to ESG matters, to be not acting responsibly in connection with these matters or, on the other hand, we may be criticized or perceived as not prioritizing returns to our shareholders by those who criticize a company’s focus on ESG matters, either of which could negatively impact us and adversely affect the price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320" w:top="1440" w:right="539" w:bottom="1440" w:gutter="0" w:footer="0" w:header="0"/>
        </w:sectPr>
      </w:pPr>
    </w:p>
    <w:bookmarkStart w:id="60" w:name="page61"/>
    <w:bookmarkEnd w:id="60"/>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Resale Shares covered hereby. The net proceeds from the sale of the Resale Shares offered by this prospectus will be received by the Selling Securityholders. Some of the Resale Shares offered hereby are issuable upon the exercise of the Private Placement Pre-Funded Warrants or Fairmount Pre-Funded Warrants. Upon exercise of the Private Placement Pre-Funded Warrants or Fairmount Pre-Funded Warrants for cash, we will receive the nominal cash exercise price paid by the holders thereof. We intend to use those proceeds, if any, for general corporate purposes.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limited exceptions, the Selling Securityholders will pay any underwriting discounts and commissions and expenses incurred by the Selling Securityholders for brokerage, accounting, tax or legal services or any other expenses incurred by the Selling Securityholders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60"/>
          </w:cols>
          <w:pgMar w:left="320" w:top="1440" w:right="419" w:bottom="1440" w:gutter="0" w:footer="0" w:header="0"/>
        </w:sectPr>
      </w:pPr>
    </w:p>
    <w:bookmarkStart w:id="61" w:name="page62"/>
    <w:bookmarkEnd w:id="61"/>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share capital. We currently intend to retain all available funds and future earnings, if any, to fund the operations and the further development and expansion of our business. We have no present intention to pay cash dividends on our ordinary shares. Any determination to pay dividends to holders of our ordinary shares will be at the discretion of our Board and will depend on many factors, including our financial condition, results of operations, liquidity, earnings, projected capital and other cash requirements, legal requirements, restrictions in the agreements governing any indebtedness we may enter into, our business prospects and other factors that our Board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60"/>
          </w:cols>
          <w:pgMar w:left="320" w:top="1440" w:right="419" w:bottom="1440" w:gutter="0" w:footer="0" w:header="0"/>
        </w:sectPr>
      </w:pPr>
    </w:p>
    <w:bookmarkStart w:id="62" w:name="page63"/>
    <w:bookmarkEnd w:id="6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competitive position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the industry and market, which we believe to be reasonable. In some cases, we do not expressly refer to the sources from which this data is derived.</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the third-party data set forth in this prospectus is reliable and based on reasonable assumptions. This information, to the extent it contains estimates or projections involves a number of assumptions and limitations, and you are cautioned not to give undue weight to such estimates or projections. The industry in which we operate is subject to risks and uncertainties and are subject to change based on various factors, including those set forth under the section titled “Risk Factors” included in this prospectus.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financial condition and results of operations in conjunction with the consolidated financial statements and the related notes thereto and other financial information included elsewhere in this prospectus. This discussion contains forward-looking statements based upon current beliefs, plans and expectations related to future events and our future financial performance that involve risks, uncertainties and assumptions. Our actual results could differ materially from those discussed in these forward-looking statements as a result of various factors. Factors that could cause or contribute to these differences include, but are not limited to, those discussed below and elsewhere in this prospectus, particularly in the section titled “Risk Factors.” Please also see the section titled “Cautionary Statement Concerning Forward-Looking Statements.” As used in this prospectus, unless the context suggests otherwise, “we”, “us”, “our”, “the Company”, or “Crescent” refers to Crescent Biopharma, Inc. and its subsidiaries.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CR-001, which we refer to as a PD-1 x VEGF bispecific antibody because it is designed to bind both the PD-1 immune checkpoint (“PD-1”) and Vascular Endothelial Growth Factor (“VEGF”), which has potential to replace pembrolizumab, marketed by Merck as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We anticipate initiation of CR-001, CR-002 and CR-003 monotherapy clinical trials in 2026 as well as the first ADC combination trial with CR-001.</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intend to initiate a global Phase 1/2 trial of CR-001 in up to eight solid tumor types in the first quarter of 2026. We believe that, because CR-001 replicates the functional properties of ivonescimab, early clinical data from ivonescimab can serve as important validation of potential effectiveness and tolerability of both ivoncescimab and CR-001, thereby allowing us to move quickly into late-stage development with a level of speed and confidence that would not exist if CR-001 did not mimic the PD-1 and VEGF binding affinity, potency, and cooperative pharmacology of ivonescimab. In the first quarter of 2027, we anticipate sharing meaningful data on CR-001’s clinical profile, including safety, pharmacokinetics (“PK”) and preliminary anti-tumor activity in multiple tumor types in first-line and previously treated patients.</w:t>
      </w:r>
    </w:p>
    <w:p>
      <w:pPr>
        <w:spacing w:after="0" w:line="13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CR-002 is a PD-L1 directed ADC that delivers a topoisomerase toxin to cancer cells that express PD-L1, a cell surface protein that suppresses T-cell activation. PD-L1 expression is elevated in numerous solid tumors compared to normal tissues, making it an attractive ADC target. We intend to initiate a Phase 1/2 trial of CR-002 in the second half of 2026.</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recently announced a partnership with Sichuan Kelun-Biotech Biopharmaceutical Co., Ltd. (“Kelun”), a leading Chinese biotech company with commercially approved ADCs, to acquire exclusive rights to SKB105, an integrin beta-6 (“ITGB6”) directed ADC, outside of Greater China. We intend to develop SKB105 as CR-003, a product designation which previously referred to a preclinical ADC asset under the Paragon option agreement. ITGB6 is a target with emerging clinical data generated by third party ADCs. We believe that CR-003 has the potential to deliver potent antitumor activity based on its improved potency and half-life in preclinical models. A Phase 1/2 trial of CR-003 is anticipated to be initiated in the first quarter of 2026 in China. We believe that CR-002 and CR-003 have the potential to provide therapeutic benefit both when used as monotherapies and in combination with CR-001.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13, 2025, we consummated the closing (the “Closing”) pursuant to that certain Agreement and Plan of Merger and Reorganization, dated as of October 28, 2024, which agreement was subsequently amended on February 14, 2025 and April 28, 2025 (as amended, the “Merger Agreement”), by and among GlycoMimetics, Gemini Merger Sub Corp. (“First Merger Sub”), Gemini Merger Sub II, LLC (“Second Merger Sub”), and Crescent Biopharma, Inc., a private company established and incorporated under the laws of the state of Delaware on September 19, 2024 (“Pre-Merger Crescent”). First Merger Sub merged with and into Pre-Merger Crescent, with Pre-Merger Crescent continuing as a wholly owned subsidiary of GlycoMimetics and the surviving corporation of the merger (the “First Merger”), and Pre-Merger Crescent merged with and into Second Merger Sub, with Second Merger Sub being the surviving entity of the merger (the “Second Merger,” and together with the First Merger, the “Merger”). After the completion of the Merger, Second Merger Sub changed its corporate name to “Crescent Biopharma Operating Company, LLC” and GlycoMimetics changed its name to “Crescent Biopharma, Inc.” On December 30, 2025, Crescent Biopharma Operating Company, LLC was merged with and into Crescent Biopharma, Inc., a newly formed Delaware corporation. We are led by the Pre-Merger Crescent management team and remain focused on developing differentiated oncology therapeutics for patients living with solid tumors.</w:t>
      </w:r>
    </w:p>
    <w:p>
      <w:pPr>
        <w:spacing w:after="0" w:line="13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Following the Reverse Stock Split (as defined below), which occurred immediately prior to the Closing of the Merger, and as a result of and upon the effective time of the First Merger (the “First Effective Time”), (i) each then-outstanding share of common stock, par value $0.001 per share, of Pre-Merger Crescent (including shares of common stock issued in the Crescent Pre-Closing Financing (as defined below) and excluding shares canceled pursuant to the Merger Agreement and excluding dissenting shares) automatically converted solely into the right to receive a number of shares of common stock, par value $0.001 per share, of GlycoMimetics (the “Company common stock,” and prior to the effective time of the Merger, the “GlycoMimetics common stock”) equal to the Exchange Ratio (as defined below); (ii) each then-outstanding share of Preferred Stock, par value $0.001 per share, of Pre-Merger Crescent (the “Pre-Merger Crescent preferred stock”) automatically converted into the right to receive a number of shares of Series A Non-Voting Convertible Preferred Stock, par value $0.001 per share, of GlycoMimetics (which were each convertible into 1,000 shares of Company common stock) (the “Company Series A Preferred Stock,” and prior to the effective time of the Merger, the “GlycoMimetics Series A Preferred Stock”), equal to the Exchange Ratio divided by 1,000; (iii) each then-outstanding option to purchase Pre-Merger Crescent common stock was assumed by GlycoMimetics; (iv) each then-outstanding Pre-Merger Crescent restricted stock unit was assumed by GlycoMimetics; (v) each then-outstanding pre-funded warrant to purchase shares of Pre-Merger Crescent common stock was converted into a pre-funded warrant to purchase shares of Company common stock; (vi) each in-the-money option to acquire shares of GlycoMimetics common stock that was issued and outstanding (whether vested or unvested) was cancelled and converted into the right to receive a number of shares of Company common stock equal to the number of shares underlying such option; (vii) each GlycoMimetics restricted stock unit was cancelled and converted into the right to receive a number of shares of GlycoMimetics common stock equal to the number of unsettled shares of GlycoMimetics common stock underlying such GlycoMimetics restricted stock unit; and (viii) each share of GlycoMimetics common stock that was issued and outstanding at the First Effective Time remains issued and outstanding in accordance with its terms.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Under this method of accounting, Pre-Merger Crescent was deemed to be the accounting acquirer for financial reporting purposes. This determination was primarily based on the fact that, immediately following the Merger: (i) Pre-Merger Crescent stockholders own a substantial majority of the voting rights in the combined company; (ii) Pre-Merger Crescent’s largest stockholders retain the largest interest in the combined company; (iii) Pre-Merger Crescent designated a majority of the initial members of the board of directors of the combined company; and (iv) Pre-Merger Crescent’s executive management team became the management team of the combined company. Accordingly, for accounting purposes: (i) the Merger was treated as the equivalent of Pre-Merger Crescent issuing stock to acquire the net assets of GlycoMimetics; and (ii) the reported historical operating results of the combined company prior to the Merger are those of Pre-Merger Crescent. Additional information regarding the Merger is included in Note 4 to the unaudited condensed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Financing</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Merger, Pre-Merger Crescent and GlycoMimetics entered into an amended and restated subscription agreement (the “Subscription Agreement”) with certain new and existing investors of Pre-Merger Crescent (the “Financing Investors”), pursuant to which such investors purchased, immediately prior to the First Merger, 85,506,824 shares of Pre-Merger Crescent common stock and 19,149,690 Pre-Merger Crescent pre-funded warrants, for gross proceeds of approximately $200.0 million (which includes $37.5 million of proceeds previously received from the issuance of convertible notes and $3.0 million of accrued interest thereon) (the “Crescent Pre-Closing Financing”). Under the Subscription Agreement, the number of shares of Pre-Merger Crescent common stock or Pre-Merger Crescent pre-funded warrants were converted into 12,355,716 shares of Company Common Stock and 2,767,122 pre-funded warrants of Company common stock in accordance with the Exchange Ratio (defined below).</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Exchange Ratio was calculated using a formula intended to allocate existing GlycoMimetics and Pre-Merger Crescent security holders a percentage of the Company. Based on GlycoMimetics’ and Pre-Merger Crescent’s values as of the date of the Merger Agreement and capitalization as of June 13, 2025, the Exchange Ratio (as adjusted for the Reverse Stock Split) was 0.1445 shares of GlycoMimetics common stock for each share of Crescent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Immediately prior to the consummation of the Merger, GlycoMimetics effected a 1-for-100 reverse stock split of GlycoMimetics common stock, which became legally effective on June 13, 2025 (the “Reverse Stock Split”). The Company common stock commenced trading on a post-Reverse Stock Split, post-Merger basis at the open of trading on June 16, 2025. All references to common stock, options to purchase common stock, outstanding common stock warrants, common stock share data, per share data,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Redomestication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16, 2025, we changed our jurisdiction of incorporation from the State of Delaware to the Cayman Islands (the “Redomestication”) pursuant to a plan of conversion (the “Plan of Conversion”). The Redomestication became effective on June 16, 2025 and was accomplished by the filing of (i) a Certificate of Conversion with the Secretary of State of the State of Delaware and (ii) the requisite documents required under section 201 of the Companies Act (as amended) of the Cayman Islands (the “Companies Act”), as well as the Cayman Islands memorandum and articles of association of the Company (the “Articles”), with the Cayman Islands Registrar of Companies. For purposes of these condensed consolidated financial statements, references to “Crescent Delaware” mean Crescent prior to the Redomestication.</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Upon the Redomestication, among other things: (i) each outstanding share of common stock, par value $0.001 per share, of Crescent Delaware automatically converted into one ordinary share, par value $0.001 per share, of the Company; (ii) each outstanding share of Series A Non-Voting Convertible Preferred Stock, par value $0.001 per share, of Crescent Delaware automatically converted in one share of Series A Non-Voting Convertible Preferred Share, par value $0.001 per share, of the Company (the “Series A Preferred Shares”); (iii) each outstanding option to purchase shares of common stock of Crescent Delaware automatically converted into an option to purchase ordinary shares of the Company; (iv) each outstanding restricted stock unit of Crescent Delaware automatically converted into a restricted stock unit of the Company; and (v) each warrant to purchase shares of common stock of Crescent Delaware automatically converted into a warrant to purchase ordinary shares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of holders of our ordinary shares are now governed by our memorandum and articles of association and Cayman Islands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 with Sichuan Kelun-Biotech Biopharmaceutical Co., Ltd.</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December 2, 2025, Crescent Biopharma Operating Company, LLC (“Crescent OpCo”), the wholly owned subsidiary of Crescent Biopharma, Inc., a Cayman Islands exempted company (together with its subsidiaries, “we” or “us”), entered into two license agreements with Sichuan Kelun-Biotech Biopharmaceutical Co., Ltd. (“Kelun”) (the “Strategic Transaction”), each of which is described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CR-001 License Agreement</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2, 2025, Crescent OpCo and Kelun entered into a License Agreement (the “CR-001 License Agreement”) under which Crescent OpCo granted Kelun an exclusive, royalty-bearing license to research, develop, manufacture and commercialize CR-001, our proprietary bispecific antibody directed to VEGF and PD-1, in greater China (including mainland China, Hong Kong, Macau and Taiwan) (collectively, the “SKB Territory”). We retain all rights to CR-001 outside the SKB Territory.</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the CR-001 License Agreement, Kelun is responsible for development, manufacturing, regulatory and commercial activities for CR-001 in the SKB Territory, and is obligated to use commercially reasonable efforts to develop and commercialize at least one CR-001 product candidate in the SKB Territory.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SKB105 License and Collaboration Agreement</w:t>
      </w:r>
    </w:p>
    <w:p>
      <w:pPr>
        <w:spacing w:after="0" w:line="17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December 2, 2025 (the “Effective Date”), Crescent OpCo and Kelun entered into a License and Collaboration Agreement (the “SKB105 License Agreement”), under which Kelun granted Crescent OpCo an exclusive license to research, develop, manufacture and commercialize SKB105, Kelun’s proprietary integrin beta-6-directed antibody-drug conjugate, in all territories outside the SKB Territory.</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responsible for all development, manufacturing, regulatory and commercial activities for SKB105 outside the SKB Territory and are obligated to use commercially reasonable efforts to develop, obtain regulatory approval for, manufacture (or have manufactured) and commercialize at least one SKB105 product in the United States and at least three (3) major European markets.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SKB105 License Agreement includes initial supply of SKB105 drug product, a data-sharing arrangement, know-how and manufacturing technology transfer provisions, intellectual property provisions, and customary termination rights, including reversion and license-back mechanics in specified circumstances.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1 to License Agreement with Paragon Therapeutics, Inc.</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December 2, 2025, Crescent OpCo entered into Amendment No. 1 (the “Amendment”) to the License Agreement, dated April 28, 2025, by and between Crescent OpCo and Paragon Therapeutics, Inc., a Delaware corporation (the “Paragon License”), relating to CR-001. The purpose of the Amendment was to amend certain terms of the Paragon License for the sole purpose of accommodating and aligning with the sublicense for the CR-001 License Agreement with Kelun-Biotech.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4, 2025, we entered into a Securities Purchase Agreement (the “Purchase Agreement”) for a private placement (the “Private Placement”) with certain institutional and other accredited investors (each, a “Purchaser” and collectively, the “Purchasers”). The closing of the Private Placement (the “Closing”) occurred on December 8, 2025.</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Purchasers agreed to purchase an aggregate of 13,795,685 ordinary shares with a par value of US$0.001 per share of the Company (the “Ordinary Shares”), at a purchase price per share of $13.41 (or, for certain investors in lieu of Ordinary Shares, pre-funded warrants (the “Pre-Funded Warrants”) to purchase shares of Ordinary Shares (the “Pre-Funded Warrant Shares”), at a purchase price per underlying Pre-Funded Warrant Share of $13.409, which represents the per share purchase price of the Ordinary Shares less the $0.001 per share exercise price for each Pre-Funded Warrant), for an aggregate purchase price of approximately $185.0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Pre-Funded Warrants will be exercisable at any time after the date of issuance. A holder of Pre-Funded Warrants may not exercise the warrant if the holder, together with its affiliates, would beneficially own more than 9.99% of the number of Ordinary Shares outstanding immediately after giving effect to such exercise. A holder of Pre-Funded Warrants may increase or decrease this percentage to a percentage not in excess of 19.99% by providing at least 61 days’ prior notice to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General Economic Risk Factors on Crescent’s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including as a result of the current government shutdown, bank failures, geopolitical factors, including the ongoing conflicts between Russia and Ukraine and in the Middle East and the responses thereto, and supply chain disruptions. While we are closely monitoring the impact of the current macroeconomic and geopolitical conditions on all aspects of our business, including the impacts on participants in any future clinical trials and our employees, suppliers, vendors, and business partners and our future access to capital, the ultimate extent of the impact on our business remains highly uncertain and will depend on future developments and factors that continue to evolve. Most of these developments and factors are outside our control and could exist for an extended period of time. We will continue to evaluate the nature and extent of the potential impacts to our business, results of operations, liquidity and capital resources. For additional information, see “Risk Factors” elsewhere in this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programs. These expenses include:</w:t>
      </w:r>
    </w:p>
    <w:p>
      <w:pPr>
        <w:spacing w:after="0" w:line="108" w:lineRule="exact"/>
        <w:rPr>
          <w:sz w:val="20"/>
          <w:szCs w:val="20"/>
          <w:color w:val="auto"/>
        </w:rPr>
      </w:pPr>
    </w:p>
    <w:p>
      <w:pPr>
        <w:ind w:left="660" w:right="4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Paragon, that conduct research and development activities on our behalf and services rendered under the related Paragon Option and License Agreements for CR-001, CR-002 and CR-003;</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continuing our current research programs and discovery-phase development of any programs we may identify, including under future agreements with third parties, such as consultants and contractors;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recruiting costs, salaries, bonuses, benefits, and equity-based compensation expense.</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For the three and nine months ended September 30, 2025, we recognized $6.2 million and $19.2 million, respectively, of research and development expenses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60"/>
          </w:cols>
          <w:pgMar w:left="320" w:top="1440" w:right="419" w:bottom="1440" w:gutter="0" w:footer="0" w:header="0"/>
        </w:sectPr>
      </w:pPr>
    </w:p>
    <w:bookmarkStart w:id="68" w:name="page69"/>
    <w:bookmarkEnd w:id="68"/>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connection with services provided by Paragon Therapeutics, Inc. (“Paragon”) under the Antibody Discovery and Option Agreement, dated September 19, 2024 (the “the “Antibody Paragon Option Agreement”), and the Amended and Restated ADC Discovery and Option Agreement, dated April 28, 2025 (the “ADC Paragon Option Agreement” and together with the Antibody Paragon Option Agreement, the “Paragon Option Agreements”) and under the License Agreement with Paragon, dated April 28, 2025, for all antibodies discovered, generated, identified, or characterized by Paragon in the course of performing the CR-001 research program directed to PD-1 and VEGF, antibodies created by the Company derived from the licensed antibodies and directed to PD-1 and VEGF, and products that comprise the foregoing (the “CR-001 License Agreement”) in our condensed consolidated statement of operations and comprehensive loss. See “</w:t>
      </w:r>
      <w:r>
        <w:rPr>
          <w:rFonts w:ascii="Times New Roman" w:cs="Times New Roman" w:eastAsia="Times New Roman" w:hAnsi="Times New Roman"/>
          <w:sz w:val="18"/>
          <w:szCs w:val="18"/>
          <w:i w:val="1"/>
          <w:iCs w:val="1"/>
          <w:color w:val="auto"/>
        </w:rPr>
        <w:t>Contractual Obligations and Commitments</w:t>
      </w:r>
      <w:r>
        <w:rPr>
          <w:rFonts w:ascii="Times New Roman" w:cs="Times New Roman" w:eastAsia="Times New Roman" w:hAnsi="Times New Roman"/>
          <w:sz w:val="18"/>
          <w:szCs w:val="18"/>
          <w:color w:val="auto"/>
        </w:rPr>
        <w:t>” below for further details on our research plans.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w:t>
      </w:r>
    </w:p>
    <w:p>
      <w:pPr>
        <w:spacing w:after="0" w:line="12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and maintenance of IND or comparable foreign applications that allow commencement of our planned clinical trials or future clinical trials for any programs we may develop;</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purity, potency and/or effectiveness, acceptable pharmacokinetics profile, and an acceptable risk-benefit profile in the intended populations;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programs we may develop following approval.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recruiting costs, salaries, bonuses, benefits, and equity-based compensation, for individuals in our executive, finance, legal, operations,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for the foreseeable future as we increase our headcount and further establish our office space to support our expected growth. We also expect to incur increased expenses as a public company, including increased costs of accounting, audit, legal, regulatory and tax related services associated with maintaining compliance with SEC requirements, additional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Other income (expense) includes interest income of $1.3 million and $1.8 million earned for the three and nine months ended September 30, 2025, respectively, relating to our money market account and interest expense of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440" w:right="379" w:bottom="1440" w:gutter="0" w:footer="0" w:header="0"/>
        </w:sectPr>
      </w:pPr>
    </w:p>
    <w:bookmarkStart w:id="69" w:name="page70"/>
    <w:bookmarkEnd w:id="69"/>
    <w:p>
      <w:pPr>
        <w:spacing w:after="0" w:line="1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million incurred for the nine months ended September 30, 2025, relating to our previously outstanding convertible notes with an initial principal amount of $37.5 million (“Convertible Notes”) issued to various investors in October 2024, which converted to common stock (now, ordinary shares) and pre-funded warrants upon the close of the Merger.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 provision for income taxes was recorded for the three and nine months ended September 30, 2025. We recorded a full valuation allowance against our net deferred tax assets as of the balance sheet date, as we believe it is not more likely than not that the benefit will be realized due to our cumulative losses generated to date and expectation of future losses.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tax provisions. We have evaluated the OBBBA provisions enacted during the current quarter and estimated their impact on the consolidated financial statements to be immaterial. We will continue to evaluate the full impact of these legislative changes as additional guidance becomes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Period from September 19, 2024 (Inception) to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statement of operations and comprehensive loss for the period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37"/>
        </w:trPr>
        <w:tc>
          <w:tcPr>
            <w:tcW w:w="9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56"/>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w:t>
            </w: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w:t>
            </w:r>
          </w:p>
        </w:tc>
      </w:tr>
      <w:tr>
        <w:trPr>
          <w:trHeight w:val="21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$13,185 for the period from September 19, 2024 (inception) to December 31,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$571 for the period from September 19, 2024 (inception) to December 31,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$341 for the period from September 19, 2024 (inception) to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period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37"/>
        </w:trPr>
        <w:tc>
          <w:tcPr>
            <w:tcW w:w="9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w:t>
            </w: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 by selected target: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CR-001</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CR-002</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Personnel-related (including stock-based compensation)</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$9,868 for the period from September 19, 2024 (inception) to December 31,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$3,251 for the period from September 19, 2024 (inception) to December 31,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$61 for the period from September 19, 2024 (inception) to December 31,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$5 for the period from September 19, 2024 (inception) to December 31, 2024.</w:t>
      </w:r>
    </w:p>
    <w:p>
      <w:pPr>
        <w:spacing w:after="0" w:line="1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$14.0 million for the period from September 19, 2024 (inception) to December 31, 2024 and consisted primarily of the following:</w:t>
      </w:r>
    </w:p>
    <w:p>
      <w:pPr>
        <w:spacing w:after="0" w:line="108" w:lineRule="exact"/>
        <w:rPr>
          <w:sz w:val="20"/>
          <w:szCs w:val="20"/>
          <w:color w:val="auto"/>
        </w:rPr>
      </w:pPr>
    </w:p>
    <w:p>
      <w:pPr>
        <w:ind w:left="660" w:right="2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of research and development expense due to Paragon for services rendered under the Antibody Paragon Option Agreement for CR-001, including $2.5 million of research and development expense due to Paragon for pre-development costs associated with CR-001;</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research and development expense related to chemistry, manufacturing, and development costs for CR-001 with a third-party contract development and manufacturing organization;</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of research and development expense due to Paragon for services rendered under the ADC Paragon Option Agreement for CR-002;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professional fees related to hiring of our research and development team.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general and administrative expenses for the period presented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37"/>
        </w:trPr>
        <w:tc>
          <w:tcPr>
            <w:tcW w:w="9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48"/>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Professional and consulting fees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Legal fees related to patent</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$405 for the period from September 19, 2024 (inception) to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$140 for the period from September 19, 2024 (inception) to December 31, 2024.</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$26 for the period from September 19, 2024 (inception) to December 31, 2024.</w:t>
      </w:r>
    </w:p>
    <w:p>
      <w:pPr>
        <w:spacing w:after="0" w:line="1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$3.2 million for the period from September 19, 2024 (inception) to December 31, 2024 and consisted primarily of the following:</w:t>
      </w:r>
    </w:p>
    <w:p>
      <w:pPr>
        <w:spacing w:after="0" w:line="108" w:lineRule="exact"/>
        <w:rPr>
          <w:sz w:val="20"/>
          <w:szCs w:val="20"/>
          <w:color w:val="auto"/>
        </w:rPr>
      </w:pPr>
    </w:p>
    <w:p>
      <w:pPr>
        <w:ind w:left="660" w:right="18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of professional and consulting fees associated with accounting, audit, investor and public relations, and legal fees due to an increase in our business activity and as we began preparing to become a public company, including $0.4 million reimbursed to Paragon for such services provided;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personnel-related costs related to recruiting costs, salaries, benefits and other compensation-related costs, including stock-based compensation of $1.1 million;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legal fees due to Paragon associated with patent-related activities;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other business expenses.</w:t>
      </w:r>
    </w:p>
    <w:p>
      <w:pPr>
        <w:spacing w:after="0" w:line="16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2025 Compared to the Period from September 19, 2024 (Inception) Through September 30, 2024</w:t>
      </w:r>
    </w:p>
    <w:p>
      <w:pPr>
        <w:spacing w:after="0" w:line="1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were incorporated in September 2024 and, therefore, provide comparative information from the date of our inception through September 30, 2024. The following table summarizes our condensed consolidated statement of operations and comprehensive loss for the periods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300" w:type="dxa"/>
            <w:vAlign w:val="bottom"/>
          </w:tcPr>
          <w:p>
            <w:pPr>
              <w:spacing w:after="0"/>
              <w:rPr>
                <w:sz w:val="13"/>
                <w:szCs w:val="13"/>
                <w:color w:val="auto"/>
              </w:rPr>
            </w:pP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$6,175 for the three months ended September 30, 2025 and $2,473 for the period from September 19, 2024 (inception) through September 30,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$89 for the three months ended September 30, 2025 and $90 for the period from September 19, 2024 (inception) through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300" w:type="dxa"/>
            <w:vAlign w:val="bottom"/>
          </w:tcPr>
          <w:p>
            <w:pPr>
              <w:spacing w:after="0"/>
              <w:rPr>
                <w:sz w:val="12"/>
                <w:szCs w:val="12"/>
                <w:color w:val="auto"/>
              </w:rPr>
            </w:pP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CR-001</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CR-002</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external research and discovery</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Personnel-related (including share-based compensation)</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Office, facilities, and software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$423 for the three months ended September 30, 2025 and $2,473 for the period from September 19, 2024 (inception) through September 30,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$5,534 for the three months ended September 30,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$226 for the three months ended September 30,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$(8) for the three months ended September 30,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$20.3 million for the three months ended September 30, 2025 and consisted primarily of the following:</w:t>
      </w:r>
    </w:p>
    <w:p>
      <w:pPr>
        <w:spacing w:after="0" w:line="171" w:lineRule="exact"/>
        <w:rPr>
          <w:sz w:val="20"/>
          <w:szCs w:val="20"/>
          <w:color w:val="auto"/>
        </w:rPr>
      </w:pPr>
    </w:p>
    <w:p>
      <w:pPr>
        <w:ind w:left="660" w:right="460" w:hanging="328"/>
        <w:spacing w:after="0" w:line="312" w:lineRule="auto"/>
        <w:tabs>
          <w:tab w:leader="none" w:pos="6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 million of research and development expense related to chemistry, manufacturing, and development costs for CR-001 with a third-party contract development and manufacturing organization for developing drug product in preparation of initiating a clinical trial for CR-001;</w:t>
      </w:r>
    </w:p>
    <w:p>
      <w:pPr>
        <w:spacing w:after="0" w:line="85" w:lineRule="exact"/>
        <w:rPr>
          <w:rFonts w:ascii="Times New Roman" w:cs="Times New Roman" w:eastAsia="Times New Roman" w:hAnsi="Times New Roman"/>
          <w:sz w:val="17"/>
          <w:szCs w:val="17"/>
          <w:color w:val="auto"/>
        </w:rPr>
      </w:pPr>
    </w:p>
    <w:p>
      <w:pPr>
        <w:ind w:left="660" w:right="3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research and development expense due to Paragon for services rendered under the Paragon Option Agreement and the CR-001 License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of research and development expense related to third-party contract research organizations and consulting services for CR-001;</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of research and development expense due to Paragon for services rendered under the Amended and Restated ADC Paragon Option Agreement for CR-002 discovery efforts;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external research and discovery expense, including $0.2 million due to Paragon for services rendered under the Amended and Restated ADC Paragon Option Agreement for CR-003 discovery efforts;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of personnel-related costs related to recruiting costs, salaries, benefits, and other compensation-related costs, including share-based compensation expense of $0.8 million.</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$2.5 million for the period from September 19, 2024 (inception) through September 30, 2024 and consisted primarily of early research and development costs with Paragon under the Antibody Paragon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general and administrative expenses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300" w:type="dxa"/>
            <w:vAlign w:val="bottom"/>
          </w:tcPr>
          <w:p>
            <w:pPr>
              <w:spacing w:after="0"/>
              <w:rPr>
                <w:sz w:val="12"/>
                <w:szCs w:val="12"/>
                <w:color w:val="auto"/>
              </w:rPr>
            </w:pPr>
          </w:p>
        </w:tc>
        <w:tc>
          <w:tcPr>
            <w:tcW w:w="12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Personnel-related (including share-based compensation)</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and consulting fees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facilities, and software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Legal fees related to patent</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$43 for the period from September 19, 2024 (inception) through September 30,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$20 for the period from September 19, 2024 (inception) through September 30,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$89 for the three months ended September 30, 2025 and $27 for the period from September 19, 2024 (inception) through September 30,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were $5.5 million for the three months ended September 30, 2025 and consisted primarily of the following:</w:t>
      </w:r>
    </w:p>
    <w:p>
      <w:pPr>
        <w:spacing w:after="0" w:line="171" w:lineRule="exact"/>
        <w:rPr>
          <w:sz w:val="20"/>
          <w:szCs w:val="20"/>
          <w:color w:val="auto"/>
        </w:rPr>
      </w:pPr>
    </w:p>
    <w:p>
      <w:pPr>
        <w:ind w:left="660" w:right="2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of personnel-related costs related to recruiting costs, salaries, benefits, and other compensation-related costs, including share-based compensation of $1.2 million;</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professional and consulting fees associated with accounting, audit, investor and public relations, and legal fees due to an increase in our business activity and as we became a public company;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of office, facilities, and software expenses.</w:t>
      </w:r>
    </w:p>
    <w:p>
      <w:pPr>
        <w:spacing w:after="0" w:line="171"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were $0.2 million for the period from September 19, 2024 (inception) through September 30, 2024 and consisted primarily of early general and administrative costs relating to personnel expenses, professional and consulting fees, and legal fees related to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2025 Compared to the Period from September 19, 2024 (Inception) Through September 30,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statement of operations and comprehensive loss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300" w:type="dxa"/>
            <w:vAlign w:val="bottom"/>
          </w:tcPr>
          <w:p>
            <w:pPr>
              <w:spacing w:after="0"/>
              <w:rPr>
                <w:sz w:val="12"/>
                <w:szCs w:val="12"/>
                <w:color w:val="auto"/>
              </w:rPr>
            </w:pP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(58,509)</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(58,914)</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$21,244 for the nine months ended September 30, 2025 and $2,473 for the period from September 19, 2024 (inception) through September 30,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$719 for the nine months ended September 30, 2025 and $90 for the period from September 19, 2024 (inception) through September 30,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$865 for the nine months ended September 30,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300" w:type="dxa"/>
            <w:vAlign w:val="bottom"/>
          </w:tcPr>
          <w:p>
            <w:pPr>
              <w:spacing w:after="0"/>
              <w:rPr>
                <w:sz w:val="12"/>
                <w:szCs w:val="12"/>
                <w:color w:val="auto"/>
              </w:rPr>
            </w:pP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 by selected target:</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CR-001</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CR-002</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external research and discovery</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Personnel-related (including share-based compensation)</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Office, facilities, and software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$6,663 for the nine months ended September 30, 2025 and $2,473 for the period from September 19, 2024 (inception) through September 30,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$10,514 for the nine months ended September 30,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$2,040 for the nine months ended September 30,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$2,027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$43.1 million for the nine months ended September 30, 2025 and consisted primarily of the following:</w:t>
      </w:r>
    </w:p>
    <w:p>
      <w:pPr>
        <w:spacing w:after="0" w:line="171" w:lineRule="exact"/>
        <w:rPr>
          <w:sz w:val="20"/>
          <w:szCs w:val="20"/>
          <w:color w:val="auto"/>
        </w:rPr>
      </w:pPr>
    </w:p>
    <w:p>
      <w:pPr>
        <w:ind w:left="660" w:right="3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of research and development expense due to Paragon for services rendered under the Paragon Option Agreement and the CR-001 License Agreement;</w:t>
      </w:r>
    </w:p>
    <w:p>
      <w:pPr>
        <w:spacing w:after="0" w:line="107"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 million of research and development expense related to chemistry, manufacturing, and development costs for CR-001 with a third-party contract development and manufacturing organization for developing drug product in preparation of initiating a clinical trial for CR-001;</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of research and development expense related to third-party contract research organizations and consulting services for CR-001;</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of research and development expense due to Paragon for services rendered under the Amended and Restated ADC Paragon Option Agreement for CR-002 discovery efforts;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of external research and discovery expense, including $2.0 million due to Paragon for services rendered under the Amended and Restated ADC Paragon Option Agreement for CR-003 discovery efforts;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million of personnel-related costs related to recruiting costs, salaries, benefits, and other compensation-related costs, including share-based compensation expense of $3.3 million.</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$2.5 million for the period from September 19, 2024 (inception) through September 30, 2024 and consisted primarily of early research and development costs with Paragon under the Antibody Paragon Option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general and administrative expenses for the period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300" w:type="dxa"/>
            <w:vAlign w:val="bottom"/>
          </w:tcPr>
          <w:p>
            <w:pPr>
              <w:spacing w:after="0"/>
              <w:rPr>
                <w:sz w:val="12"/>
                <w:szCs w:val="12"/>
                <w:color w:val="auto"/>
              </w:rPr>
            </w:pPr>
          </w:p>
        </w:tc>
        <w:tc>
          <w:tcPr>
            <w:tcW w:w="12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Personnel-related (including stock-based compensation)</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and consulting fees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facilities, and software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Legal fees related to patent</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$213 for the nine months ended September 30, 2025 and $43 for the period from September 19, 2024 (inception) through September 30,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$150 for the nine months ended September 30, 2025 and $20 for the period from September 19, 2024 (inception) through September 30,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$356 for the nine months ended September 30, 2025 and $27 for the period from September 19, 2024 (inception) through September 30,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were $18.1 million for the nine months ended September 30, 2025 and consisted primarily of the following:</w:t>
      </w:r>
    </w:p>
    <w:p>
      <w:pPr>
        <w:spacing w:after="0" w:line="171" w:lineRule="exact"/>
        <w:rPr>
          <w:sz w:val="20"/>
          <w:szCs w:val="20"/>
          <w:color w:val="auto"/>
        </w:rPr>
      </w:pPr>
    </w:p>
    <w:p>
      <w:pPr>
        <w:ind w:left="660" w:right="1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of personnel-related costs related to recruiting costs, salaries, benefits, and other compensation-related costs, including share-based compensation of $5.2 million;</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of professional and consulting fees associated with accounting, audit, investor and public relations, and legal fees due to an increase in our business activity and as we became a public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of office, facilities, and software expenses.</w:t>
      </w:r>
    </w:p>
    <w:p>
      <w:pPr>
        <w:spacing w:after="0" w:line="171"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were $0.2 million for the period from September 19, 2024 (inception) through September 30, 2024 and consisted primarily of early general and administrative costs relating to personnel expenses, professional and consulting fees, and legal fees related to patents.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our inception, we have incurred significant operating losses. We expect to incur significant expenses and operating losses for the foreseeable future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the preclinical development of our programs and commence clinical development of CR-001, CR-002, and CR-003. We have not yet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commercialized any products and we do not expect to generate revenue from sales of products for several years, if at all. To date, we have funded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primarily with proceeds from the issuance of Series Seed convertible preferred stock, common stock, and pre-funded warrants, and the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Convertible Notes. In September 2024, we issued and sold 20,000,000 shares of Series Seed Preferred Stock to Fairmount, through an affiliate fund,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purchase price of $0.20 per share, for total gross proceeds of $4.0 million, which qualifies as a related party transaction. In October 2024, we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 million in net proceeds from the issuance of its Convertible Notes to several investors, of which Fairmount, through an affiliate fund, held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with an initial principal amount of $15.0 million, which qualifies as a related party transaction. In June 2025, we raised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$142.3 million in net proceeds from the Pre-Closing Financing, excluding the previously received proceeds from the Convertible Notes, and received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cash from GlycoMimetics upon consummation of the Merger. As of September 30, 2025, we had cash and cash equivalents of $133.3 million.</w:t>
      </w:r>
    </w:p>
    <w:p>
      <w:pPr>
        <w:spacing w:after="0" w:line="15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primary use of cash is to fund the development of our product candidates and advance our pipeline. This includes both the research and development costs and the general and administrative expenses required to support those operations. Since we are a clinical-stage biotechnology company, we have incurred significant operating losses since our inception and we anticipate such losses to increase as we continue to pursue clinical development of our product candidates, prepare for the potential commercialization of our product candidates, and expand our development efforts in our pipeline of nonclinical candidates. We expect that our existing cash will be sufficient to fund our operating plans for at least twelve months from the date the condensed consolidated financial statements were issued.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our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142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0" w:type="dxa"/>
            <w:vAlign w:val="bottom"/>
          </w:tcPr>
          <w:p>
            <w:pPr>
              <w:spacing w:after="0"/>
              <w:rPr>
                <w:sz w:val="1"/>
                <w:szCs w:val="1"/>
                <w:color w:val="auto"/>
              </w:rPr>
            </w:pPr>
          </w:p>
        </w:tc>
      </w:tr>
      <w:tr>
        <w:trPr>
          <w:trHeight w:val="198"/>
        </w:trPr>
        <w:tc>
          <w:tcPr>
            <w:tcW w:w="8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37"/>
        </w:trPr>
        <w:tc>
          <w:tcPr>
            <w:tcW w:w="9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w:t>
            </w: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(6,269)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41,035</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increase in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34,766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operating activities was $44.8 million, which was primarily attributable to a net loss of $61.5 million, partially offset by non-cash charges of $10.9 million and net cash provided by changes in operating activities of $5.9 million. Non-cash charges primarily consisted of $8.6 million in share-based compensation expense and $2.2 million of non-cash interest expense. The changes in operating activities were primarily due to an increase in our business activity as well as the timing of vendor invoicing and payments.</w:t>
      </w:r>
    </w:p>
    <w:p>
      <w:pPr>
        <w:spacing w:after="0" w:line="12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From September 19, 2024 (inception) to December 31, 2024, net cash used in operating activities was $6.3 million, which was primarily attributable to a net loss of $17.9 million, offset by non-cash charges of $2.1 million and net cash provided by changes in operating activities of $9.5 million. Non-cash charges consisted of a $1.1 million increase in stock-based compensation expense and $1.0 million in non-cash research and development expense. Net cash provided by changes in Crescent’s operating activities primarily consisted of a $0.1 million increase in accounts payable, $2.2 million increase in accrued expenses and other current liabilities, $7.2 million increase in related parties accounts payable and other current liabilities, partially offset by less than $0.1 million increase in prepaid expenses and other current assets. The increase in amounts due to related parties, accounts payable, and accrued expenses and other current liabilities was primarily due to an increase in Crescent’s business activity, as well as vendor invoicing and payments.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7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attributable to $0.7 million of purchases of property and equipment associated with the build-out of the sublease of office space located in Waltham, Massachusetts.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$144.1 million, consisting primarily of $143.0 million of net proceeds from the Pre-Closing Financing and $1.3 million of cash acquired in connection with the reverse recapitalization, partially offset by the repurchase of restricted stock awards of $0.2 million.</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September 19, 2024 (inception) to December 31, 2024, net cash provided by financing activities was $41.0 million, consisting of $4.0 million of net proceeds from the issuance of Crescent’s Series Seed Preferred Stock, $0.3 million of proceeds from the issuance of common stock and $37.5 million of gross proceeds from the issuance of the Convertible Notes, partially offset by $0.8 million of payments in deferred offering costs and less than $0.1 million of debt issuance costs associated with the Convertible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Since our inception in September 2024, we have devoted substantially all of our resources to raising capital, organizing and staffing the Company, business and scientific planning, conducting discovery and research activities, establishing arrangements with third parties, and providing general and administrative support for these operations. We do not have any programs approved for sale and have not generated any revenue from product sales. To date, we have funded our operations primarily with proceeds from the reverse recapitalization and merger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GlycoMimetics, Inc., our Pre-Closing Financing and Private Placement (as defined and further described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above).</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incurred operating losses since inception. Our ability to generate product revenue sufficient to achieve profitability will depend heavily on the successful development and eventual commercialization of any programs we may develop. We incurred net losses of $24.6 million and $61.5 million for the three and nine months ended September 30, 2025, respectively. As of September 30, 2025, we had an accumulated deficit of $79.4 million. For the nine months ended September 30, 2025, we have used net cash of $44.8 million for our operating activities.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$133.3 million. We expect that our existing cash will be sufficient to fund our operating plans for at least twelve months from the date the condensed consolidated financial statements were issued. We expect to continue to incur substantial losses for the foreseeable future as we:</w:t>
      </w:r>
    </w:p>
    <w:p>
      <w:pPr>
        <w:spacing w:after="0" w:line="122" w:lineRule="exact"/>
        <w:rPr>
          <w:sz w:val="20"/>
          <w:szCs w:val="20"/>
          <w:color w:val="auto"/>
        </w:rPr>
      </w:pPr>
    </w:p>
    <w:p>
      <w:pPr>
        <w:ind w:left="660" w:right="3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research and development and discovery-related development of our CR-001, CR-002 and CR-003 programs, including potential expansion into additional indications;</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identify additional research programs and product candidates and initiate discovery-related activities and preclinical studies for those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future preclinical studies for our pipeline;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Investigational New Drug applications ("IND”) or comparable foreign applications that allow commencement of our planned clinical trials or future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enrollment in and successfully complete clinical trials;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positive results from our future clinical trials that support a finding of safety and effectiveness, an acceptable risk-benefit profile in the intended populations and a competitive efficacy, safety and half-life profile;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research and development, clinical, manufacturing and commercial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challenges, or other issues associated with the preclinical and clinical development of our programs, including with respect to our regulatory strategies;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clinical and commercial-scale cGMP capabilities through a third-party or our own manufacturing facility for the programs we may develop;</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obtain and maintain regulatory approvals for any product candidates for which we successfully complete clinical trials;</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programs for which we may obtain regulatory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 from commercial sales of product candidates for which we receive regulatory approval,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safety, tolerability and efficacy profile of any product we may develop in additional indications following approval in one indication;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other intellectual property protection or regulatory exclusivity for any products we may develop and defend any intellectual property-related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40"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acquire or in-license product candidates or programs, intellectual property and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any future collaborations, including making milestone, royalty or other payments thereunder; and</w:t>
      </w:r>
    </w:p>
    <w:p>
      <w:pPr>
        <w:spacing w:after="0" w:line="171"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of operating as a public company, including increased costs of audit, legal, regulatory and tax-related services associated with maintaining compliance with an exchange listing and SEC requirements, director and officer insurance premiums and investor and public relations costs.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programs that we may identify could mean a significant change in the costs and timing associated with the development of such programs. For example, if the United States Food and Drug Administration (“FDA”) or another comparable regulatory authority were to require us to conduct clinical trials beyond those that we currently anticipate will be required to complete clinical development and obtain regulatory approval of one or more product candidates, or if we experience significant delays in our preclinical studies or clinical trials, we would be required to expend significant additional financial resources and time to advance and complete clinical development. We may never obtain regulatory approval for any of our product candidates.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initiate and complete clinical development and obtain regulatory approval for any product candidates. If we obtain regulatory approval for any of our product candidates and do not enter into a commercialization partnership, we expect to incur significant expenses related to developing our commercialization capability to support product sales, manufacturing, marketing, and distribution.</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of all the foregoing, we expect to need substantial additional funding to support our continued operations and growth strategy. Until such a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on favorable terms, or at all. If we fail to raise capital or enter into such agreements as, and when, needed, we may have to significantly delay, scale back or discontinue the development and commercialization of one or more of our programs.</w:t>
      </w:r>
    </w:p>
    <w:p>
      <w:pPr>
        <w:spacing w:after="0" w:line="12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Because of the numerous risks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CMOs, and with other vendors for preclinical research studies, clinical trials, manufacturing, and other services and products for operating purposes. These contracts generally provide for termination on notice or may have a potential termination fee if the contract is cancelled within a specified time, and therefore, are cancellable contracts. We do not expect any such contract terminations and did not have any non-cancellable obligations under these agreements as of September 30, 2025. See Notes 11, 12, and 13 to the condensed consolidated financial statements included elsewhere in this prospectus for further information on our contractual lease obligations for our office in Waltham, Massachusetts, and other commitments, including the commitments under the Option and License Agreements. See Note 17 to the condensed consolidated financial statements included elsewhere in this prospectus for further information on certain contracts executed subsequent to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financial statements requires us to make estimates and assumptions that affect the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amounts of assets and liabilities and the disclosure of contingent assets and liabilities at the date of the condensed consolidated financial statements, as well as the reported revenues recognized and expenses incurred during the reporting periods.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elsewhere in this prospectus, we believe the following accounting policies used in the preparation of our condensed consolidated financial statements require the most significant judgments and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Accruals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record the costs associated with research studies and manufacturing development as incurred. These costs are a significant component of our research and development expenses, with a substantial portion of our ongoing research and development activities conducted by third-party service providers, including contract research organizations and contract manufacturing organizations, and our related party Paragon.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accrue for expenses resulting from obligations under Paragon Option Agreements between Paragon, Parascent, and us and agreements with CROs, CMOs, and other outside service providers for which payment flows do not match the periods over which materials or services are provided to us.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We make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our accruals could materially affect its results of operations. As of September 30, 2025, we have not experienced any material deviations between accrued and actual research and development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measure share-based awards granted to employees, directors, and non-employees in the form of stock options to purchase shares of our ordinary shares, based on their fair value on the date of the grant using the Black-Scholes model. We measure ordinary share awards, restricted ordinary share awards, and restricted stock units using the difference, if any, between the purchase price per share of the award and the fair value of our ordinary shares at the date of grant. Compensation expense for those awards is recognized using the straight-line method over the requisite service period, which is generally the vesting period of the respective award for employees. Compensation expense for awards to non-employees with service-based vesting conditions is recognized in the same manner as if we had paid cash in exchange for the goods or services, which is generally over the vesting period of the award. We account for forfeitures as they occur. We classify share-based compensation expenses in the same manner in which the award recipient’s payroll costs are classified or in which the award recipient’s service payments are classified.</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Black-Scholes model uses inputs that are determined by our board of directors on the date of grant and assumptions we make for the volatility of stock-based awards, the expected term of stock-based awards, the risk-free interest rate for a period that approximates the expected term of our stock-based awards, and its expected dividend yield. We lack sufficient company-specific historical and implied volatility information of our shares. Therefore, we estimate its expected share volatility based on the historical volatility of a representative group of public companies in the biotechnology industry for a term equal to the remaining time of the expected term. The expected term of our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We have estimated a 0% dividend yield based on the expected dividend yield and the fact that we have never paid, and do not expect to pay, any cash dividends in the foreseeable future. See Note 2 and Note 9 to the condensed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financial statements as of September 30, 2025 included elsewhere in this prospectus for information concerning specific assumptions we used in applying the Black-Scholes model to determine the estimated fair value of our stock options granted in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Ordinary Shares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public trading market for our ordinary shares has been established in connection with the completion of the Merger with GlycoMimetics in June 2025. As such, it is no longer necessary for our board of directors to estimate the fair value of our share awards in connection with our accounting for granted share-based awards or other such awards we may grant, as the fair value of our ordinary shares and share-based awards is determined based on the quoted market price of our ordinary shares.</w:t>
      </w:r>
    </w:p>
    <w:p>
      <w:pPr>
        <w:spacing w:after="0" w:line="12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Prior to the Merger, our pre-Merger common stock valuations were prepared by a third-party valuation firm using a hybrid method, including an option-pricing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a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our pre-Merger common stock valuations had used significantly different assumptions or estimates, the fair value of our pre-Merger incentive shares and our share-based compensation expense could have been materially different.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the condensed consolidated financial statements as of September 30, 2025 included elsewhere in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did not have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CR-001, which we refer to as a PD-1 x VEGF bispecific antibody because it is designed to bind both the PD-1 immune checkpoint (“PD-1”) and Vascular Endothelial Growth Factor (“VEGF”), which has potential to replace pembrolizumab, marketed by Merck as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We anticipate initiation of CR-001, CR-002 and CR-003 monotherapy clinical trials in 2026 as well as the first ADC combination trial with CR-001.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100965</wp:posOffset>
            </wp:positionV>
            <wp:extent cx="5349240" cy="1783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Figure 1. Our vision is to create a world-leading oncology company developing products that can be used as monotherapies or in combination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Immune checkpoint inhibitors have revolutionized the treatment landscape for various solid tumors by reactivating the body’s immune system to target and destroy cancer cells. These inhibitors, which are antibodies against targets such as CTLA-4 and PD-1/PD-L1, have shown unprecedented anti-tumor activity, and have become standard-of-care treatments for more than 40 malignancies, including melanoma, non-small cell lung cancer (“NSCLC”) and microsatellite instability-high tumors. These inhibitors have led to significant clinical outcomes, with notable improvements in survival rates and durable responses in patients who previously had limited treatment options. These products have also been successful commercially with worldwide annual sales estimated to be in excess of $50 billion, over half of which are driven by sales of Keytruda.</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immune checkpoint inhibitors are highly effective in some indications, many patients with solid tumors fail to respond to these therapies. Furthermore, patients who do respond do not always achieve long-lasting benefit. There have been broad efforts by the pharmaceutical industry to identify immuno-oncology products able to address this unmet clinical need. Ivonescimab, a PD-1 x VEGF bispecific antibody in development by Akeso Biopharma and Summit Therapeutics Inc., is the first drug candidate to demonstrate significantly improved progression free survival (“PFS”) compared to Keytruda. In the HARMONi-2 trial, a randomized, double-blind, head-to-head Phase 3 clinical trial in naïve, or not previously treated, advanced and metastatic NSCLC, the median PFS with ivonescimab was 11.1 months compared to 5.8 months with Keytruda.</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CR-001 is a new molecular entity designed to replicate the functional properties of ivonescimab. Through its ability to bind both PD-1 and VEGF, CR-001 has been shown to have cooperative binding and increased activity of cytotoxic T cell activation. These effects are similar to that observed with ivonescimab in the presence of these ligands which are commonly found in many tumors. We believe the emerging data from the clinical development of ivonescimab supports the rationale for developing CR-001 in light of CR-001 and ivonescimab sharing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80"/>
          </w:cols>
          <w:pgMar w:left="320" w:top="1440" w:right="399" w:bottom="1440" w:gutter="0" w:footer="0" w:header="0"/>
        </w:sectPr>
      </w:pPr>
    </w:p>
    <w:bookmarkStart w:id="83" w:name="page84"/>
    <w:bookmarkEnd w:id="83"/>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mechanism of action. We do not have any clinical data regarding cancer patients that have been treated with CR-001 and there can be no assurance that clinical trials of CR-001, which have not yet commenced and are expected to cover a broader set of indications than in HARMONi-2, will have similar or comparable results.</w:t>
      </w:r>
    </w:p>
    <w:p>
      <w:pPr>
        <w:spacing w:after="0" w:line="12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We believe that CR-001 has the potential to deliver improved clinical efficacy and safety over Keytruda, which is the best-selling drug in the world and is approved for the treatment of numerous cancers. Following the precedents set by traditional PD-1 inhibitors, such as Keytruda and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plan to seek regulatory approvals for CR-001 to treat multiple solid tumor indications utilizing monotherapies and combination treatment options. We intend to initiate a Phase 1/2 trial of CR-001 in NSCLC and other solid tumors in the first quarter of 2026.</w:t>
      </w:r>
    </w:p>
    <w:p>
      <w:pPr>
        <w:spacing w:after="0" w:line="1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CR-002 is an ADC that delivers a topoisomerase toxin to cancer cells that express Programmed Death-Ligand 1 (“PD-L1”), a cell surface protein that suppresses T-cell activation. PD-L1 expression is elevated in numerous solid tumors compared to normal tissues, making it an attractive ADC target. CR-002 is differentiated from other ADCs through multiple properties. First, a critical feature of CR-002 is that it is more efficiently internalized into cancer cells than comparable ADCs. Second, the chemical linkage to its toxin is designed to be stable until it is internalized. Third, the cytotoxic payload is a topoisomerase inhibitor which has been shown to have higher antitumor activity and increased tolerability when incorporated into other ADCs as compared to microtubule inhibitors. We believe that CR-002 has the potential to have improved anti-tumor activity and tolerability compared to other PD-L1 directed ADCs. We intend to initiate a Phase 1/2 trial of CR-002 in the second half of 2026.</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recently announced a partnership with Sichuan Kelun-Biotech Biopharmaceutical Co., Ltd. (“Kelun”), a leading Chinese biotech company with commercially approved ADCs, to acquire exclusive rights to SKB105 (also referred to as CR-003), an integrin beta-6 (“ITGB6”) directed ADC, outside of mainland China, Hong Kong, Macau, and Taiwan (collectively, “Greater China”). ITGB6 is overexpressed in many solid tumors and its high expression correlates with tumor size, vascular invasion, metastatic potential, disease recurrence and worse prognosis. We intend to develop SKB105 as CR-003, a product designation which previously referred to a preclinical ADC asset under the Paragon option agreement. ITGB6 is a target with emerging clinical data generated by third party ADCs. We believe that CR-003 has the potential to deliver potent antitumor activity based on its improved potency and half-life in preclinical models. A Phase 1/2 trial of CR-003 is anticipated to be initiated in the first quarter of 2026 in China.</w:t>
      </w:r>
    </w:p>
    <w:p>
      <w:pPr>
        <w:spacing w:after="0" w:line="135" w:lineRule="exact"/>
        <w:rPr>
          <w:sz w:val="20"/>
          <w:szCs w:val="20"/>
          <w:color w:val="auto"/>
        </w:rPr>
      </w:pPr>
    </w:p>
    <w:p>
      <w:pPr>
        <w:ind w:right="400"/>
        <w:spacing w:after="0" w:line="241" w:lineRule="auto"/>
        <w:rPr>
          <w:sz w:val="20"/>
          <w:szCs w:val="20"/>
          <w:color w:val="auto"/>
        </w:rPr>
      </w:pPr>
      <w:r>
        <w:rPr>
          <w:rFonts w:ascii="Times New Roman" w:cs="Times New Roman" w:eastAsia="Times New Roman" w:hAnsi="Times New Roman"/>
          <w:sz w:val="18"/>
          <w:szCs w:val="18"/>
          <w:color w:val="auto"/>
        </w:rPr>
        <w:t>Combinations of immune checkpoint inhibitors and ADCs with a topoisomerase payload are a growing area of interest as third party results have demonstrated improvements in PFS. In the ASCENT-04 trial, sacituzumab govitecan, marketed as Trodelvy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Gilead Sciences, in combination with pembrolizumab led to a statistically significant and clinically meaningful improvement in PFS versus chemotherapy plus pembrolizumab with durable responses, no new safety concerns and a lower rate of treatment discontinuation due to treatment-emergent adverse events (“TEAEs”) in patients with previously untreated, PD-L1–positive advanced triple negative breast cancer (“TNBC”).</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potential to combine CR-001 with ADCs is a key element of our partnership with Kelun. As part of our agreement, we granted Kelun exclusive rights to CR-001 in Greater China. With this partnership, we can mutually advance CR-001 and CR-003 globally. Both companies will have the ability to develop both of these molecules as monotherapies or in combination with other therapies, including ADCs. We anticipate that clinical results generated by Kelun evaluating CR-001 in combination with their full suite of ADCs will inform and accelerate the development of CR-001 in the rest of the world. This partnership enables parallel generation of clinical data for CR-001 in both Chinese and non-Chinese patient populations and may limit the need for bridging studies across different populations. We anticipate initiating the first CR-001 ADC combination trial in the second half of 2026.</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envision multiple opportunities to establish and maintain market leadership in oncology through careful selection of ADC products based on targets and payloads. We plan to continue to expand our product portfolio through a combination of internal development, our relationship with Paragon and external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122555</wp:posOffset>
            </wp:positionV>
            <wp:extent cx="6172200" cy="2245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focused on delivering the next wave of transformative therapies to bring a brighter future for people living with cancer. We have a bold vision to build the next leading biotechnology company. Our strategy is to:</w:t>
      </w:r>
    </w:p>
    <w:p>
      <w:pPr>
        <w:spacing w:after="0" w:line="104" w:lineRule="exact"/>
        <w:rPr>
          <w:sz w:val="20"/>
          <w:szCs w:val="20"/>
          <w:color w:val="auto"/>
        </w:rPr>
      </w:pPr>
    </w:p>
    <w:p>
      <w:pPr>
        <w:ind w:left="660" w:right="140" w:hanging="328"/>
        <w:spacing w:after="0" w:line="259"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Obtain clinical proof-of-concept data with CR-001 in a Phase 1/2 trial. </w:t>
      </w:r>
      <w:r>
        <w:rPr>
          <w:rFonts w:ascii="Times New Roman" w:cs="Times New Roman" w:eastAsia="Times New Roman" w:hAnsi="Times New Roman"/>
          <w:sz w:val="18"/>
          <w:szCs w:val="18"/>
          <w:color w:val="auto"/>
        </w:rPr>
        <w:t>We intend to initiate a global Phase 1/2 trial of CR-001 in up to 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solid tumor types in the first quarter of 2026 (the “ASCEND trial”). We believe that, because CR-001 replicates the functional properties of ivonescimab, early clinical data from ivonescimab can serve as important validation of potential effectiveness and tolerability of both ivoncescimab and CR-001, thereby allowing us to move quickly into late-stage development with a level of speed and confidence that would not exist if CR-001 did not mimic the PD-1 and VEGF binding affinity, potency, and cooperative pharmacology of ivonescimab.</w:t>
      </w:r>
    </w:p>
    <w:p>
      <w:pPr>
        <w:spacing w:after="0" w:line="125"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CR-001 in multiple indications. </w:t>
      </w:r>
      <w:r>
        <w:rPr>
          <w:rFonts w:ascii="Times New Roman" w:cs="Times New Roman" w:eastAsia="Times New Roman" w:hAnsi="Times New Roman"/>
          <w:sz w:val="18"/>
          <w:szCs w:val="18"/>
          <w:color w:val="auto"/>
        </w:rPr>
        <w:t>We have identified a number of solid tumors in which PD-1 checkpoint inhibitors and VEGF inhibitors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demonstrated clinical activity. We intend to develop CR-001 in multiple solid tumors, prioritized based on existing clinical evidence for the potential of CR-001, the size of the market opportunity, and the feasibility to streamline the generation of data that we believe will be sufficient to obtain regulatory approval. Our initial focus will be in thoracic, gastrointestinal and gynecologic cancers.</w:t>
      </w:r>
    </w:p>
    <w:p>
      <w:pPr>
        <w:spacing w:after="0" w:line="122"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ADC programs into clinical development. </w:t>
      </w:r>
      <w:r>
        <w:rPr>
          <w:rFonts w:ascii="Times New Roman" w:cs="Times New Roman" w:eastAsia="Times New Roman" w:hAnsi="Times New Roman"/>
          <w:sz w:val="18"/>
          <w:szCs w:val="18"/>
          <w:color w:val="auto"/>
        </w:rPr>
        <w:t>We believe that CR-002 and CR-003 have the potential to provide therapeutic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when used as monotherapies and in combination with CR-001. We anticipate initiating monotherapy clinical trials with CR-002 in the second half of 2026 and with CR-003, through our partnership with Kelun, in the first quarter of 2026.</w:t>
      </w:r>
    </w:p>
    <w:p>
      <w:pPr>
        <w:spacing w:after="0" w:line="116"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CR-001 as a backbone therapy used in combination with ADCs. </w:t>
      </w:r>
      <w:r>
        <w:rPr>
          <w:rFonts w:ascii="Times New Roman" w:cs="Times New Roman" w:eastAsia="Times New Roman" w:hAnsi="Times New Roman"/>
          <w:sz w:val="18"/>
          <w:szCs w:val="18"/>
          <w:color w:val="auto"/>
        </w:rPr>
        <w:t>We believe that, similar to traditional PD-1 checkpoint inhibitors,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CR-001 has the potential to elicit meaningful clinical activity both as monotherapy and in combination with other therapies. Our partnership with Kelun is designed to provide us with a competitive advantage by accelerating clinical evaluation of the potential of CR-001 in combination with a broad portfolio of ADCs.</w:t>
      </w:r>
    </w:p>
    <w:p>
      <w:pPr>
        <w:spacing w:after="0" w:line="122"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portfolio of product candidates. </w:t>
      </w:r>
      <w:r>
        <w:rPr>
          <w:rFonts w:ascii="Times New Roman" w:cs="Times New Roman" w:eastAsia="Times New Roman" w:hAnsi="Times New Roman"/>
          <w:sz w:val="18"/>
          <w:szCs w:val="18"/>
          <w:color w:val="auto"/>
        </w:rPr>
        <w:t>We will consider opportunities to expand our pipeline by obtaining access to best-in-class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including ADCs, that have potential activity against solid tumors both as monotherapy and in combination with CR-001.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immune checkpoint inhibitors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Immune checkpoint inhibitors have revolutionized the treatment of cancer, offering new hope to patients with previously limited options. These groundbreaking therapies work by reactivating the body’s own immune system to target and destroy cancer cells. Checkpoint inhibitors, such as CTLA-4 and PD-1/PD-L1 inhibitors, have demonstrated unprecedented anti-tumor activity, and have become standard treatments for various malignancies, including advanced metastatic melanoma, NSCLC, renal cell carcinoma, and microsatellite instability-high tumors. These inhibitors have led to significant clinical outcomes, with notable improvements in survival rates and durable responses in patients who previously had only limited treatment options.</w:t>
      </w:r>
    </w:p>
    <w:p>
      <w:pPr>
        <w:spacing w:after="0" w:line="12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remarkable impact of immune checkpoint inhibitors on cancer treatment is reflected in their commercial success. For example, Yervoy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CTLA-4 inhibitor that was approved in 2011, achieved worldwide sales of $2.2 billion in 2024. Keytruda, a PD-1 inhibitor, has received 40 FDA approvals and 30 European Commission approvals in a variety of different indications. Worldwide sales of Keytruda in 2024 were $29.5 billion. Despite the commercial dominance of Keytruda, at least six other PD-1/PD-L1 inhibitors have been approved by the FDA, including two that received initial approvals in 2024. Sales of this class of checkpoint inhibitors continue to grow year-over-year, with worldwide sales in 2024 in excess of $50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102870</wp:posOffset>
            </wp:positionV>
            <wp:extent cx="5349240" cy="3522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2. Global sales of PD-1/PD-L1 inhibitors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these therapies’ remarkable success, only a portion of patients treated with checkpoint inhibitors obtain meaningful benefit. For example, treatment of patients with unresectable or metastatic melanoma with pembrolizumab resulted in a six percent complete response (“CR”) rate, and a 27 percent partial response (“PR”) rate. A meta-analysis of 91 clinical trials found that the objective response rate to checkpoint inhibitors was less than 20 percent.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Multiple approaches have been taken to improve this response rate, including the clinical testing of potential therapies against other immune checkpoint targets, and combination therapies. Emerging targets, such as LAG-3, TIM-3, and TIGIT, are being evaluated in preclinical studies and clinical trials, with the hope of providing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00"/>
          </w:cols>
          <w:pgMar w:left="320" w:top="1440" w:right="379" w:bottom="1440" w:gutter="0" w:footer="0" w:header="0"/>
        </w:sectPr>
      </w:pPr>
    </w:p>
    <w:bookmarkStart w:id="86" w:name="page87"/>
    <w:bookmarkEnd w:id="86"/>
    <w:p>
      <w:pPr>
        <w:spacing w:after="0" w:line="14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options for patients with refractory or resistant cancers. However, none of these approaches has yet demonstrated clinical efficacy as a monotherapy that matches, or exceeds, the established success rates of PD-1/PD-L1 inhibitors. More promising results have been obtained when these agents are combined with PD-1/PD-L1 inhibitors. For example, Opdualag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fixed dose combination of relatlimab, a LAG-3 inhibitor, and nivolumab, was approved in 2022 for the treatment of unresectable or metastatic melanoma. The overall response rate with the combination drug in the RELATIVITY-047 trial was 43 percent versus 33 percent with nivolumab monotherapy. Combination with other agents thus offers new and potentially profound improvement in the ability of checkpoint inhibitors to meaningfully impact more patients and more tumor types.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breakthrough potential of ivonescimab, a PD-1 x VEGF bispecific molecule</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Ivonescimab, a cooperative PD-1 x VEGF bispecific molecule, has demonstrated promising clinical results that highlight its breakthrough potential in oncology. Ivonescimab was designed to synergistically combine the mechanisms of angiogenesis inhibition and immune checkpoint blockade in a single molecule by targeting both PD-1 and VEGF pathways. In the HARMONi-2 trial in NSCLC, ivonescimab demonstrated a statistically significant and clinically meaningful improvement in PFS compared to pembrolizumab.</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HARMONi-2 is a randomized, double-blind Phase 3 trial across 55 hospitals in China sponsored by Akeso Biopharma to support regulatory approval in China comparing the efficacy of ivonescimab with pembrolizumab as first-line treatment with PD-L1 expressing locally advanced or metastatic NSCLC. 398 patients were randomly assigned to receive ivonescimab or pembrolizumab by intravenous infusion every three weeks. A planned interim analysis found that patients treated with ivonescimab had a statistically significant improvement in median PFS of 5.3 months compared to pembrolizumab, with p&lt;0.0001. Ivonescimab-treated patients had a median PFS of 11.1 months, compared to 5.8 months with pembrolizumab. The median PFS of pembrolizumab in this trial is consistent with the 5.4 month PFS observed in the pembrolizumab monotherapy arm of the KEYNOTE-042 trial conducted in a similar patient population, providing additional support for observed improved potential of ivonescimab.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3326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380"/>
        <w:spacing w:after="0" w:line="284" w:lineRule="auto"/>
        <w:rPr>
          <w:sz w:val="20"/>
          <w:szCs w:val="20"/>
          <w:color w:val="auto"/>
        </w:rPr>
      </w:pPr>
      <w:r>
        <w:rPr>
          <w:rFonts w:ascii="Times New Roman" w:cs="Times New Roman" w:eastAsia="Times New Roman" w:hAnsi="Times New Roman"/>
          <w:sz w:val="18"/>
          <w:szCs w:val="18"/>
          <w:i w:val="1"/>
          <w:iCs w:val="1"/>
          <w:color w:val="auto"/>
        </w:rPr>
        <w:t>Figure 3. Ivonescimab monotherapy led to an improvement in median progression-free survival (“mPFS”) over pembrolizumab as a first-line treatment in advanced and metastatic NSCLC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80"/>
          </w:cols>
          <w:pgMar w:left="320" w:top="1440" w:right="399" w:bottom="1440" w:gutter="0" w:footer="0" w:header="0"/>
        </w:sectPr>
      </w:pPr>
    </w:p>
    <w:bookmarkStart w:id="87" w:name="page88"/>
    <w:bookmarkEnd w:id="87"/>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to this improvement in PFS over pembrolizumab, two other observations from this trial highlight the potential of ivonescimab. First is that improved benefits were observed in patients where pembrolizumab has historically had modest efficacy. This includes patients with low levels of PD-L1 expression and in squamous cell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1748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Figure 4. Ivonescimab provided improved PFS compared to pembrolizumab including in patients with low levels of PD-L1 expression and in squamous cell cancers, both of which have historically been associated with poor response to pembrolizumab. The benefits of ivonescimab are represented by the hazard ratio, a statistical measure of the relative risk of disease progression in patients in separate groups. A hazard ratio of 0.54 means that ivonescimab-treated patients had a 46% lower chance of disease progression than those treated with pembrolizumab. PD-L1 expression was assessed by the Tumor Proportion Score, or TPS, which quantifies the percentage of viable tumor cells showing partial or complete membrane staining of PD-L1.</w:t>
      </w:r>
    </w:p>
    <w:p>
      <w:pPr>
        <w:spacing w:after="0" w:line="1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Second, treatment with ivonescimab was well-tolerated with the frequency and severity of immune-related adverse events comparable to those observed in the pembrolizumab arm. Clinical experience in NSCLC with anti-VEGF inhibitors, such as bevacizumab, identified serious adverse events, including fatal pulmonary hemorrhage, that have limited the number of patients eligible for treatment. Other adverse events associated with bevacizumab include proteinuria and hypertension. The majority of these VEGF-related adverse events were Grade 1 or Grade 2 in the data presented from the interim analysis of the HARMONi-2 trial. There were no adverse events greater than Grade 3. The frequency of Grade 3 events were 1 percent hemorrhage, 3 percent proteinuria, and 5 percent hypertension. There were no increases in treatment discontinuation or death associated with ivonescimab compared to pembrolizumab.</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 CR-001</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CR-001 is a bispecific antibody designed to build upon the transformative clinical efficacy observed with ivonescimab by replicating its functional properties with a proprietary new molecule.</w:t>
      </w:r>
    </w:p>
    <w:p>
      <w:pPr>
        <w:spacing w:after="0" w:line="10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plan to initiate a global Phase 1/2 trial of CR-001, enrolling patients with solid tumors in the first quarter of 2026. We believe that, because CR-001 replicates the functional properties of ivonescimab, early clinical data from ivonescimab can serve as important validation of potential effectiveness and tolerability of both CR-001 and ivonescimab, thereby allowing us to move quickly into late-stage development with a level of speed and confidence that would not exist if CR-001 did not mimic the PD-1 and VEGF binding affinity, potency, and cooperative pharmacology of ivonescimab.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rationale for targeting PD-1 and VEGF</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Both PD-1 and VEGF are targets of approved drugs for multiple indications. However, the potential for combining the inhibition of both targets is not widely appreciated. Data from The Cancer Genome Atlas indicates that these targets are co-expressed in various human tumors.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VEGF is well-recognized for its angiogenesis-inducing activity, promoting the formation of new blood vessels to help tumors overcome oxygen deficits and nutrient starvation. However, it also has an important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immunosuppressive role. VEGF can inhibit the maturation of key immune cells known as dendritic cells and promote the accumulation of another key population of immune cells, the myeloid-derived suppressor cells. Other reports indicate that blocking VEGF signaling may promote antitumor immune responses by inhibiting the accumulation of regulatory T cells. Because immunosuppressive microenvironments can also drive angiogenesis, VEGF plays a central role in driving further immunosuppression. A number of preclinical studies and clinical trials have explored the potential of inhibiting both PD-1 and VEGF.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 of ivonescimab drives its clinical activity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antitumor activity of ivonescimab observed in the HARMONi-2 trial was higher than expected for the combination treatments containing both an anti-PD-1 and anti-VEGF antibody in NSCLC. For example, in the Lung-MAP S1800A trial, the combination of ramucirumab, a VEGF receptor inhibitor, and pembrolizumab led to a modest median PFS of 4.5 months compared to 5.2 months reported for patients treated with standard of care. In the ImPower150 trial, the addition of atezolizumab, a PD-L1 inhibitor, to a combination of bevacizumab and chemotherapy, led to a modest increase in median PFS from 6.8 months to 8.3 months.</w:t>
      </w:r>
    </w:p>
    <w:p>
      <w:pPr>
        <w:spacing w:after="0" w:line="12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studies reported by scientists at Akeso Biopharma and Summit Therapeutics Inc. at the Society for Immunotherapy of Cancer conference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 that ivonescimab binding to both PD-1 and to VEGF was cooperative. Each molecule of ivonescimab is capable of binding to two PD-1 and two VEGF molecules. Due to inherent dimerization of VEGF, its binding to ivonescimab can lead to the formation of ivonescimab complexes, effectively increasing the local concentration of anti-PD-1 binding sites. Similarly, binding of ivonescimab to PD-1 on immune cells leads to a local increase in anti-VEGF binding sites. In summary, in the presence of VEGF, ivonescimab binding affinity to PD-1 was enhanced promoting increased PD-1/PD-L1 signaling blockade.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1748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4234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Figure 5. VEGF binding to ivonescimab leads to the formation of ivonescimab-VEGF complexes</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presence of both PD-1 and VEGF expressing immune cells in tumors leads to cooperative binding of ivonescimab resulting in increased binding to both targets, which is hypothesized to be the driver of increased clinical activity.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 of CR-001</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CR-001 is a new molecular entity designed to match the targeting, binding, cooperativity, and pharmacokinetics of ivonescimab in order to maximize the likelihood of demonstrating superior efficacy compared to approved PD-1 and PD-L1 therapies. The VEGF binding domain is that of bevacizumab, an FDA-approved anti-VEGF antibody. This domain was incorporated into CR-001 to match the VEGF binding affinity of ivonescimab, which contains the same domain. The PD-1 binding domain of CR-001 is a proprietary scFv sequence that was designed to match the affinity of the PD-1 binding domain of ivonescimab while benefiting from increased stability engineered by Paragon. Paragon has filed composition of matter claims for the CR-001 sequence based in part on proprietary scFv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1440" w:right="519" w:bottom="1440" w:gutter="0" w:footer="0" w:header="0"/>
        </w:sectPr>
      </w:pPr>
    </w:p>
    <w:bookmarkStart w:id="90" w:name="page91"/>
    <w:bookmarkEnd w:id="9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Pursuant to the CR-001 License Agreement, we have licensed from Paragon these and other intellectual property rights applicable to CR-001.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117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Figure 6. Structure of CR-001</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CR-001 was designed to match the pharmacokinetics of ivonescimab. Similar to ivonescimab, the IgG Fc domain of CR-001 was modified to reduce its ability to bind to FcγRIIIA, a receptor on natural killer (“NK”) cells that drives antibody dependent cellular cytotoxicity. The resulting reduction in antibody- dependent cellular cytotoxicity is designed to protect CR-001 from driving NK cell dependent destruction of T cells. The affinity of CR-001 for the FcRn receptor matches that of ivonescimab, helping to prolong its half-life in circulation. While we replicated the cooperative pharmacology of ivonescimab, we incorporated proprietary engineering to stabilize the scFVs of CR-001, which we believe has the potential for developing subcutaneous dosing. Our composition of matter claims is based in part on this proprietary scFV engineering.</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our decision to closely replicate the functional properties of ivonescimab with a proprietary molecule provides us with an advantage over competitors that have designed product candidates with highly differentiated profiles. We believe that the development of CR-001 can directly benefit from clinical results generated with ivonescimab, potentially accelerating timelines and reducing the number of patients in late-stage trials compared to the challenges associated with highly differentiated competitor product candidates.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vitro activity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ability of VEGF to drive cooperative binding of CR-001 to PD-1 was investigated in cellular assays conducted by Paragon. CR-001 led to the concentration-dependent activation of the nuclear factor of activated T cell, gene by PD-1-expressing cells upon exposure to PD-L1 expressing cells. In the presence of exogenous VEGF, the potency of CR-001, as measured by PD-1/PD-L1 signaling inhibition, was increased by more than 10-fold (p = 0.001 by one-way Analysis of Variance), as reflected in the left graph below. Additionally, binding of CR-001 to PD-1+ cells was enhanced in the presence of exogenous VEGF (not statistically significant due to sample size),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20" w:top="1440" w:right="379" w:bottom="1440" w:gutter="0" w:footer="0" w:header="0"/>
        </w:sectPr>
      </w:pPr>
    </w:p>
    <w:bookmarkStart w:id="91" w:name="page92"/>
    <w:bookmarkEnd w:id="91"/>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reflected in the right graph below. The activity of CR-001 in this assay closely matched that of ivonescimab which was synthesized by Paragon based on publicly 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1842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Figure 6. CR-001 led to cooperative binding to PD-1 in the presence of VEGF</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direct measure of CR-001 binding to PD-1 expressed on a Jurkat T cell line showed that the increased sensitivity to T cell activation upon VEGF addition was consistent with higher binding to PD-1. In the presence of VEGF, binding of CR-001 and ivonescimab to PD-1 were both greatly enhanced, directly demonstrating the cooperative binding nature of CR-001 and ivonescimab. CR-001 also showed potent anti-tumor activity in a xenograft mouse model, and was well-tolerated in non-human primates after a single intravenous dose with robust PD-1 receptor occupancy. The presence of VEGF creates daisy chains of drug molecules so that multiple drug molecules are bound to each PD-1 molecule, increasing signal amplitude.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potential for CR-001</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Whereas, to date, the superiority of ivonescimab over pembrolizumab has been demonstrated only in treatment-naïve advanced and metastatic NSCLC, clinical experience with checkpoint inhibitors suggests that molecules that enhance checkpoint inhibition, such as ivonescimab and CR-001, may improve antitumor responses in other solid tumors. Ivonescimab has been or is currently being investigated in clinical trials in 16 indications and has been granted marketing approval by the China National Medical Products Administration (“NMPA”) of China for the treatment of EGFR mutated locally advanced or metastatic NSCLC patients who have progressed after EGFR TKI treatment and as monotherapy in first-line treatment of patients with advanced, PD-L1-positive (tumor proportion score ≥1%) NSCLC who do not harbor EGFR or ALK mutations.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Access to solid tumor indications and the lucrative market opportunities they present is a critical objective for our development of CR-001. We intend to prioritize the development of CR-001 in indications for which clinical evidence supports potential efficacy, for which there is an efficient path to market, we believe there are high unmet medical need, and favorable competitive intensity. We believe that there are over 40 indications where CR-001 could be first-in-class outside of China. This may include indications where ivonescimab has demonstrated clinical proof of concept for its mechanism of action and may also include indications in which ivonescimab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80"/>
          </w:cols>
          <w:pgMar w:left="320" w:top="1440" w:right="399" w:bottom="1440" w:gutter="0" w:footer="0" w:header="0"/>
        </w:sectPr>
      </w:pPr>
    </w:p>
    <w:bookmarkStart w:id="92" w:name="page93"/>
    <w:bookmarkEnd w:id="9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studied to date. We may also develop CR-001 in other indications where it believes that CR-001 may compete favorably with ivonescimab.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366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80" w:right="200"/>
        <w:spacing w:after="0" w:line="284" w:lineRule="auto"/>
        <w:rPr>
          <w:sz w:val="20"/>
          <w:szCs w:val="20"/>
          <w:color w:val="auto"/>
        </w:rPr>
      </w:pPr>
      <w:r>
        <w:rPr>
          <w:rFonts w:ascii="Times New Roman" w:cs="Times New Roman" w:eastAsia="Times New Roman" w:hAnsi="Times New Roman"/>
          <w:sz w:val="18"/>
          <w:szCs w:val="18"/>
          <w:i w:val="1"/>
          <w:iCs w:val="1"/>
          <w:color w:val="auto"/>
        </w:rPr>
        <w:t>Figure 7. PD-1/PD-L1 checkpoint inhibitors and anti-VEGF antibodies have demonstrated antitumor activity across multiple solid tumors, both as a monotherapy and in combination.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clinical development of CR-001</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plan to initiate a global Phase 1/2 clinical trial of CR-001 in the first quarter of 2026. The ASCEND trial will enroll patients with up to eight types of solid tumors: hepatocellular carcinoma. biliary tract cancer, gastric cancer, colon cancer, endometrial carcinoma cervical cancer, ovarian cancer, and NSCLC. The initial part of this trial will follow a traditional dose-escalation design in previously treated patients. The backfill portion of the trial will expand enrollment to include first-line patients. Our dose optimization cohorts will be focused on enrolling first-line patients to understand CR-001’s clinical profile in the landscape of other bispecifics, especially its efficacy and safety in treatment-naïve patients.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the similarity between CR-001 and ivonescimab will enable it to apply insights from the clinical development of ivonescimab to that of CR-001. Specifically, we believe this prior experience will help it to obtain early proof-of-concept data in the initial Phase 1 trial as well as to accelerate its development in later-stage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1937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80" w:right="40"/>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Figure 8. Outline of the clinical development plan for CR-001. </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 xml:space="preserve">Hepatocellular carcinoma. biliary tract cancer, gastric cancer, colon cancer, endometrial carcinoma, cervical cancer, ovarian cancer, and NSCLC </w:t>
      </w: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 xml:space="preserve"> Dose regimens for backfill cohorts will be determined by emerging data and doses deemed adequately tolerated per the safety</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80"/>
          </w:cols>
          <w:pgMar w:left="320" w:top="1440" w:right="399" w:bottom="1440" w:gutter="0" w:footer="0" w:header="0"/>
          <w:type w:val="continuous"/>
        </w:sectPr>
      </w:pPr>
    </w:p>
    <w:bookmarkStart w:id="93" w:name="page94"/>
    <w:bookmarkEnd w:id="93"/>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review committee. Each dose level may have up to 8 different tumor-specific cohorts that can enroll up to 12 participants each for a maximum of</w:t>
      </w:r>
    </w:p>
    <w:p>
      <w:pPr>
        <w:spacing w:after="0" w:line="20" w:lineRule="exact"/>
        <w:rPr>
          <w:sz w:val="20"/>
          <w:szCs w:val="20"/>
          <w:color w:val="auto"/>
        </w:rPr>
      </w:pPr>
    </w:p>
    <w:p>
      <w:pPr>
        <w:jc w:val="center"/>
        <w:ind w:left="340" w:right="80"/>
        <w:spacing w:after="0" w:line="236" w:lineRule="auto"/>
        <w:rPr>
          <w:sz w:val="20"/>
          <w:szCs w:val="20"/>
          <w:color w:val="auto"/>
        </w:rPr>
      </w:pPr>
      <w:r>
        <w:rPr>
          <w:rFonts w:ascii="Times New Roman" w:cs="Times New Roman" w:eastAsia="Times New Roman" w:hAnsi="Times New Roman"/>
          <w:sz w:val="17"/>
          <w:szCs w:val="17"/>
          <w:i w:val="1"/>
          <w:iCs w:val="1"/>
          <w:color w:val="auto"/>
        </w:rPr>
        <w:t xml:space="preserve">approximately 150 participants in backfill. </w:t>
      </w:r>
      <w:r>
        <w:rPr>
          <w:rFonts w:ascii="Times New Roman" w:cs="Times New Roman" w:eastAsia="Times New Roman" w:hAnsi="Times New Roman"/>
          <w:sz w:val="22"/>
          <w:szCs w:val="22"/>
          <w:i w:val="1"/>
          <w:iCs w:val="1"/>
          <w:color w:val="auto"/>
          <w:vertAlign w:val="superscript"/>
        </w:rPr>
        <w:t>3</w:t>
      </w:r>
      <w:r>
        <w:rPr>
          <w:rFonts w:ascii="Times New Roman" w:cs="Times New Roman" w:eastAsia="Times New Roman" w:hAnsi="Times New Roman"/>
          <w:sz w:val="17"/>
          <w:szCs w:val="17"/>
          <w:i w:val="1"/>
          <w:iCs w:val="1"/>
          <w:color w:val="auto"/>
        </w:rPr>
        <w:t xml:space="preserve"> Dose escalation is conducted according to 3+3 design. </w:t>
      </w:r>
      <w:r>
        <w:rPr>
          <w:rFonts w:ascii="Times New Roman" w:cs="Times New Roman" w:eastAsia="Times New Roman" w:hAnsi="Times New Roman"/>
          <w:sz w:val="22"/>
          <w:szCs w:val="22"/>
          <w:i w:val="1"/>
          <w:iCs w:val="1"/>
          <w:color w:val="auto"/>
          <w:vertAlign w:val="superscript"/>
        </w:rPr>
        <w:t>4</w:t>
      </w:r>
      <w:r>
        <w:rPr>
          <w:rFonts w:ascii="Times New Roman" w:cs="Times New Roman" w:eastAsia="Times New Roman" w:hAnsi="Times New Roman"/>
          <w:sz w:val="17"/>
          <w:szCs w:val="17"/>
          <w:i w:val="1"/>
          <w:iCs w:val="1"/>
          <w:color w:val="auto"/>
        </w:rPr>
        <w:t xml:space="preserve"> Selected dose expansion tumor types may include tumor types from backfill or other solid tumor indications not previously evaluated, Abbreviations: DL = dose level; RP2D = recommended Phase 2 dose</w:t>
      </w:r>
    </w:p>
    <w:p>
      <w:pPr>
        <w:spacing w:after="0" w:line="38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anticipate reporting proof-of-concept clinical data from the ASCEND trial in the first quarter of 2027, including safety, pharmacokinetic, pharmacodynamic and early anti-tumor activity in first-line and previously treated patients. Since we have reproduced the cooperative pharmacology of ivonescimab with CR-001’s intentional design, we believe that the data generated in this trial will be highly validating. Along with data we generate, we anticipate data generated by Kelun in clinical trials of CR-001 in Greater China to substantially contribute to our understanding of the clinical potential of CR-001. We believe positive data from early clinical trials using CR-001 will provide us with the opportunity to accelerate its development and efficiently move into registration enabling studies of monotherapy and in combinations. This has the potential to put us in a strong position in a competitive field.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importance of combination therapies that include ADCs in cancer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Cancer treatment often depends on the use of combination therapies. Traditionally, these have been combinations of cytotoxic drugs. However, new treatment modalities are transforming the treatment landscape resulting in combinations of biologics. Drug candidates such as ivonescimab and CR-001 not only have the potential to improve efficacy, but they can also do so with good tolerability. This provides the opportunity to combine these drug candidates with other antitumor drugs. Ivonescimab has already demonstrated in multiple clinical trials that it can be safely dosed in combination with other anticancer drugs to deliver meaningful antitumor activity.</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promising advancement in cancer therapy is the use of ADCs, which are designed to combine the targeting capabilities of antibodies with the cell-killing power of cytotoxic drugs. By specifically targeting cancer cells and delivering the cytotoxic agent directly to them, ADCs can minimize damage to healthy cells and reduce side effects. An emerging therapeutic approach combines the use of ADCs and checkpoint inhibitors. Examples of synergistic activity between these two classes of biologics have been reported in cancers such as NSCLC and urogenital cancers. In December 2023, the FDA approved the combination of enfortumab vedotin, a nectin-4 directed ADC, and pembrolizumab for patients with locally advanced or metastatic urothelial cancer.</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intend to develop CR-001 in combination with CR-002 and CR-003, our internal ADC product candidates. We anticipate the first ADC combination trial with CR-001 to begin in the second half of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ADCs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ADCs are anticancer agents that selectively attack cancer cells while leaving normal cells unharmed. The ADC market is rapidly expanding with 2024 sales of over $12B and a projected market of over $29B by 2032. There have been at least 21 ADCs approved worldwide, including two approved by the FDA in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ADCs have three components that drive their safety and efficacy.</w:t>
      </w:r>
    </w:p>
    <w:p>
      <w:pPr>
        <w:spacing w:after="0" w:line="167" w:lineRule="exact"/>
        <w:rPr>
          <w:sz w:val="20"/>
          <w:szCs w:val="20"/>
          <w:color w:val="auto"/>
        </w:rPr>
      </w:pPr>
    </w:p>
    <w:p>
      <w:pPr>
        <w:ind w:left="660" w:right="80" w:hanging="328"/>
        <w:spacing w:after="0" w:line="268" w:lineRule="auto"/>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Antibody. </w:t>
      </w:r>
      <w:r>
        <w:rPr>
          <w:rFonts w:ascii="Times New Roman" w:cs="Times New Roman" w:eastAsia="Times New Roman" w:hAnsi="Times New Roman"/>
          <w:sz w:val="18"/>
          <w:szCs w:val="18"/>
          <w:color w:val="auto"/>
        </w:rPr>
        <w:t>The ability of an ADC to target tumor cells is dependent on the identification of an antibody that can selectively bind to tumor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These antibodies typically bind to antigens that are overexpressed on the surface of tumor cells compared to normal cells. Examples include HER2 in breast cancer, EGFR in head and neck cancers, nectin-4 in urothelial cancer and TROP2 in various tumors.</w:t>
      </w:r>
    </w:p>
    <w:p>
      <w:pPr>
        <w:spacing w:after="0" w:line="116" w:lineRule="exact"/>
        <w:rPr>
          <w:rFonts w:ascii="Times New Roman" w:cs="Times New Roman" w:eastAsia="Times New Roman" w:hAnsi="Times New Roman"/>
          <w:sz w:val="18"/>
          <w:szCs w:val="18"/>
          <w:b w:val="1"/>
          <w:bCs w:val="1"/>
          <w:color w:val="auto"/>
        </w:rPr>
      </w:pPr>
    </w:p>
    <w:p>
      <w:pPr>
        <w:ind w:left="660" w:hanging="328"/>
        <w:spacing w:after="0" w:line="262" w:lineRule="auto"/>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Payload. </w:t>
      </w:r>
      <w:r>
        <w:rPr>
          <w:rFonts w:ascii="Times New Roman" w:cs="Times New Roman" w:eastAsia="Times New Roman" w:hAnsi="Times New Roman"/>
          <w:sz w:val="18"/>
          <w:szCs w:val="18"/>
          <w:color w:val="auto"/>
        </w:rPr>
        <w:t>The cell killing activity of ADCs is driven by a cytotoxic molecule that is covalently attached to the antibody, often also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payload. These molecules are typically inhibitors that block critical cell processes such as DNA replication. Coupling them to antibodies enables the delivery of higher concentrations of these toxins to tumors than can be achieved otherwise as the unconjugated cytotoxic molecules are toxic to healthy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6" w:lineRule="exact"/>
        <w:rPr>
          <w:sz w:val="20"/>
          <w:szCs w:val="20"/>
          <w:color w:val="auto"/>
        </w:rPr>
      </w:pPr>
    </w:p>
    <w:p>
      <w:pPr>
        <w:jc w:val="both"/>
        <w:ind w:left="660" w:right="140" w:hanging="328"/>
        <w:spacing w:after="0" w:line="268" w:lineRule="auto"/>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Linker. </w:t>
      </w:r>
      <w:r>
        <w:rPr>
          <w:rFonts w:ascii="Times New Roman" w:cs="Times New Roman" w:eastAsia="Times New Roman" w:hAnsi="Times New Roman"/>
          <w:sz w:val="18"/>
          <w:szCs w:val="18"/>
          <w:color w:val="auto"/>
        </w:rPr>
        <w:t>Critical for an ADC to have the desired safety and efficacy is the ability of the payload to remain attached to the antibody until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tumor whereupon it must be released. One of the most effective ways to ensure that the payload is not released prematurely is to use a linker that is cleaved only after the ADC has been localized into the tumor.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Historically, ADCs had limited efficacy due to systemic toxicities. Recently approved ADCs have addressed some of the limitations of early generations of these drugs through improvements in all three ADC components. More stable linkers have led to reduced systemic toxicities while at the same time multivalent linkers have increased the number of payload molecules that can be delivered by a single antibody. Antibodies that can target a wider range of tumors have been identified and payloads that lead to more efficient cell killing have been incorporated into ADCs.</w:t>
      </w:r>
    </w:p>
    <w:p>
      <w:pPr>
        <w:spacing w:after="0" w:line="122"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Examples of the impact that switching the cytotoxic payload can have on clinical efficacy include HER2 directed ADCs Enhertu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versus Kadcyla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TROP2 directed ADCs Dato-DXd versus PF-06664178. ADCs directed at each of these targets have higher overall response rates (“ORR”) when a topoisomerase inhibitor is the cytotoxic payload compared to a microtubule inhibitor payload. Furthermore, ADCs that deliver a topoisomerase inhibitor have been associated with lower rates of peripheral neuropathy (“PN”), an adverse event that can drive dose reductions and discontinuations.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102870</wp:posOffset>
            </wp:positionV>
            <wp:extent cx="6172200" cy="1979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380"/>
        <w:spacing w:after="0" w:line="258" w:lineRule="auto"/>
        <w:rPr>
          <w:sz w:val="20"/>
          <w:szCs w:val="20"/>
          <w:color w:val="auto"/>
        </w:rPr>
      </w:pPr>
      <w:r>
        <w:rPr>
          <w:rFonts w:ascii="Times New Roman" w:cs="Times New Roman" w:eastAsia="Times New Roman" w:hAnsi="Times New Roman"/>
          <w:sz w:val="18"/>
          <w:szCs w:val="18"/>
          <w:i w:val="1"/>
          <w:iCs w:val="1"/>
          <w:color w:val="auto"/>
        </w:rPr>
        <w:t>Figure 7. ADCs that have topoisomerase inhibitor payloads have higher efficacy and improve tolerability than those containing microtubule inhibitor payloads. Notes: Caution should be exercised when analyzing cross-trial comparisons due to differences in subject characteristics, trial designs and other factors. Abbreviations: GEJ: Gastroesophageal junction. A. Approved. R: In registration . PN rates are weighted averages by number of patients across indications / trials and include PN, PSN. PMN, and PSMN when separately measured. Disitamab vedotin is approved in China and is in Phase 3 development globally.</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Data presented at the 2025 European Society for Medical Oncology (“ESMO”) conference showed that sacituzumab tirumotecan (“Sac-TMT”), a TROP2-directed ADC with a topoisomerase payload, significantly improved PFS in patients with EGFR-mutated NSCLC compared to platinum-based standard of care. To the best of our knowledge, this is the first randomized phase 3 study with a TROP2-directed ADC that showed meaningful improvements over standard of care in this population.</w:t>
      </w:r>
    </w:p>
    <w:p>
      <w:pPr>
        <w:spacing w:after="0" w:line="12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Evidence for the potential of combination therapy of an ADC with a topoisomerase payload and an immune checkpoint inhibitor was presented at the 2025 Americal Society of Clinical Oncology (“ASCO”) conference. Sacituzumab govitecan, a TROP2-directed ADC marketed as Trodelvy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Gilead, plus pembrolizumab resulted in a median PFS of 11.2 months versus 7.8 months when pembrolizumab was given in combination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80"/>
          </w:cols>
          <w:pgMar w:left="320" w:top="1440" w:right="399" w:bottom="1440" w:gutter="0" w:footer="0" w:header="0"/>
        </w:sectPr>
      </w:pPr>
    </w:p>
    <w:bookmarkStart w:id="95" w:name="page96"/>
    <w:bookmarkEnd w:id="95"/>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chemotherapy. These data highlight the potential of topoisomerase ADCs to synergize with checkpoint inhibitors and deliver best-in-class outcomes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6172200" cy="2057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Figure 8. Topoisomerase ADCs led to significant improvements in PFS compared to chemotherapy.</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to increasing efficacy, topoisomerase ADCs also reduced the frequency of TEAEs that led to treatment discontinuations or death compared to standard of care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6172200" cy="2417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340" w:firstLine="1391"/>
        <w:spacing w:after="0" w:line="439" w:lineRule="auto"/>
        <w:rPr>
          <w:sz w:val="20"/>
          <w:szCs w:val="20"/>
          <w:color w:val="auto"/>
        </w:rPr>
      </w:pPr>
      <w:r>
        <w:rPr>
          <w:rFonts w:ascii="Times New Roman" w:cs="Times New Roman" w:eastAsia="Times New Roman" w:hAnsi="Times New Roman"/>
          <w:sz w:val="18"/>
          <w:szCs w:val="18"/>
          <w:i w:val="1"/>
          <w:iCs w:val="1"/>
          <w:color w:val="auto"/>
        </w:rPr>
        <w:t xml:space="preserve">Figure 9. Topoisomerase ADCs were associated with lower frequencies of TEAEs leading to discontinuation or death </w:t>
      </w:r>
      <w:r>
        <w:rPr>
          <w:rFonts w:ascii="Times New Roman" w:cs="Times New Roman" w:eastAsia="Times New Roman" w:hAnsi="Times New Roman"/>
          <w:sz w:val="18"/>
          <w:szCs w:val="18"/>
          <w:b w:val="1"/>
          <w:bCs w:val="1"/>
          <w:i w:val="1"/>
          <w:iCs w:val="1"/>
          <w:color w:val="auto"/>
        </w:rPr>
        <w:t>CR-002, a PD-L1 directed ADC</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developing CR-002, a PD-L1-directed ADC with a topoisomerase payload for the treatment of PD-L1 expressing tumors. PD-L1 is a surface protein that is overexpressed by over 35 percent of certain types of cancer, such as melanoma, hepatocellular carcinoma, colorectal cancer, and NSCLC. Binding of PD-L1 to its receptor, PD-1, on immune T cells leads to suppression of cytotoxic CD8+ T cells, preventing immune attack of the tumor. While inhibitors that interfere with the binding of PD-L1 to PD-1 have resulted in remarkable clinical efficacy across multiple cancer types, their efficacy, even in tumors with high immunogenicity, is limited to approximately twenty percent to thirty percent of patients. Rather than inhibiting the interaction of PD-L1 with PD-1, CR-002 is designed to directly kill tumor cells that express PD-L1.</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80"/>
          </w:cols>
          <w:pgMar w:left="320" w:top="1440" w:right="399" w:bottom="1440" w:gutter="0" w:footer="0" w:header="0"/>
          <w:type w:val="continuous"/>
        </w:sectPr>
      </w:pPr>
    </w:p>
    <w:bookmarkStart w:id="96" w:name="page97"/>
    <w:bookmarkEnd w:id="96"/>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CR-002 builds on clinical validation from PD-L1 directed ADC molecules from Henlius and Pfizer while differentiating via choice of antibody, linker, payload, and ability to combine with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56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Figure 10. Design of CR-002</w:t>
      </w:r>
    </w:p>
    <w:p>
      <w:pPr>
        <w:spacing w:after="0" w:line="173"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CR-002 was designed with a DXd topoisomerase inhibitor as the payload which we believe will impart high antitumor activity while minimizing the frequency of serious TEAEs. By contrast, SGN-PDL1V, a PD-L1 directed ADC in development by Pfizer, has a microtubule inhibitor as its payload.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linker used to attach the payload to the antibody in CR-002 is a peptide referred to as GGFG which was selected based on its stability in circulation.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the payload from ADCs created using this linker requires internalization of the ADC into lysosomes. This linker was also used to create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Enhertu, a HER2 directed ADC approved in over 70 countries.</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CR-002 was created using a proprietary anti-PD-L1 antibody. This antibody was specifically selected based on its superior ability to be internalized. CR-002 was more potent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cytotoxicity assay than ADCs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20"/>
          </w:cols>
          <w:pgMar w:left="320" w:top="1440" w:right="559" w:bottom="1440" w:gutter="0" w:footer="0" w:header="0"/>
        </w:sectPr>
      </w:pPr>
    </w:p>
    <w:bookmarkStart w:id="97" w:name="page98"/>
    <w:bookmarkEnd w:id="97"/>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containing the same DXd payload created from other anti-PD-L1 antibodies. A non-intuitive finding was that cytotoxicity was inversely correlated with PD-L1 binding potency.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68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11. CR-003 demonstrated more potent cell toxicity than DXd ADCs created using antibodies with higher affinities for PD-L1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single dose of CR-002 at 1 mg/kg led to complete responses in eight of eight mice evaluated in a Karpas-299 Non-Hodgkins Leukemia (“NHL”)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CR-002 performed favorably in this model compared with benchmark antibodies incorporated into ADCs with identical DXd payloads.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108585</wp:posOffset>
            </wp:positionV>
            <wp:extent cx="5349240" cy="268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360"/>
        <w:spacing w:after="0" w:line="284" w:lineRule="auto"/>
        <w:rPr>
          <w:sz w:val="20"/>
          <w:szCs w:val="20"/>
          <w:color w:val="auto"/>
        </w:rPr>
      </w:pPr>
      <w:r>
        <w:rPr>
          <w:rFonts w:ascii="Times New Roman" w:cs="Times New Roman" w:eastAsia="Times New Roman" w:hAnsi="Times New Roman"/>
          <w:sz w:val="18"/>
          <w:szCs w:val="18"/>
          <w:i w:val="1"/>
          <w:iCs w:val="1"/>
          <w:color w:val="auto"/>
        </w:rPr>
        <w:t>Figure 12. CR-002 performed favorably versus opoucolimab-DXd (antibody in Henlius' PD-L 1 ADC HLX43), SG-559-01-DXd (antibody in Pfizer's PD-L 1 ADC SGN-PDL 1V), and BMS-936559-DXd (PD-L1 antibody)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plans for CR-002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file an IND for CD-002 in mid-2026 and initiate a Phase 1/2 trial in the second half of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CR-003, an ITGB6 directed ADC</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CR-003, also known as SKB105, is an ADC that is designed to deliver a topoisomerase inhibitor payload to tumors expressing ITGB6. We have obtained an exclusive license outside of Greater China to develop CR-003. In January 2026, Kelun received IND approval to initiate a Phase 1/2 trial for SKB105 from the Center for Drug Evaluation of the National Medical Products Administration of China with initial data expected in the first quarter of 2027, followed quickly by the initiation of a CR-001 and CR-003 combination trial in early 2027 with first data expected by year-end 2027.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ITGB6 is an attractive target for ADCs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ITGB6 is a member of the integrin family of integral membrane proteins that anchor cells and respond to the extracellular matrix. Integrins mediate cell-to-cell and cell-to-matrix communication. ITGB6, which encodes a component of the adhesion receptor alpha-v/beta-6, is overexpressed in numerous solid tumors. ITGB6 is highly expressed in a broad range of tumors including lung, head and neck, pancreatic, breast and cervical cancers, among others. Expression of ITGB6 is a negative prognostic indicator associated with reduced survival in multiple tumors. ITGB6 expression can also promote metastasis through stimulation of epithelial to mesenchymal transition. ITGB6 expressed at low levels in healthy epithelial cells compared to high expression in numerous solid tumors, which makes it an attractive ADC target.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CR-003</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CR-003 was created by Kelun using a proprietary Fc silenced fully human antibody to a specific epitope on ITGB6. A topoisomerase inhibitor payload is coupled to the antibody using a clinically validated peptide linker. CR-003 has been shown to be well-tolerated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68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13. Structural model of CR-003</w:t>
      </w:r>
    </w:p>
    <w:p>
      <w:pPr>
        <w:spacing w:after="0" w:line="17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Preclinical studies showed that the CR-003 antibody demonstrated superior cell internalization in low antigen density cancer cell lines compared to the anti-ITGB6 antibody utilized in the Seagen ADC SGN-B6A. SGN-B6A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now in development as sigvotatug vedotin by Pfizer. Compared to SGN-B6A, the enhanced internalization by the CR-003 antibody may potentially enhance cell-killing activity of cells expressing lower levels of ITGB6.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6172200" cy="180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14. The antibody used to create CR-003 was more rapidly internalized in cells expressing low levels of ITGB6 than the SGN-B6A antibody</w:t>
      </w:r>
    </w:p>
    <w:p>
      <w:pPr>
        <w:spacing w:after="0" w:line="171"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CR-003 led to potent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antitumor activity in two cell-line derived (“CDX”) tumor models. In both the NCIH358 NSCLC model and the CFPAC-1 pancreatic model, a single dose of CR-003 led to tumor shrinkage. By contrast, treatment with SGN-B6A led at best to a delay in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78740</wp:posOffset>
            </wp:positionV>
            <wp:extent cx="6172200" cy="180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15. CR-003 demonstrated superior antitumor responses in multiple CDX models compared to SGN-B6a</w:t>
      </w:r>
    </w:p>
    <w:p>
      <w:pPr>
        <w:spacing w:after="0" w:line="17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Additionally, CR-003 demonstrated a superior PK profile versus SGN-B6A. The superimposable PK profiles of the CR-003 ADC and total antibody curves demonstrate high stability in circulation and suggest that there are low levels of free payload in circulation, creating an opportunity for a differentiated safety profile. As expected based on its linker and payload, the SGN-B6A PK profile demonstrates instability in circulation indicative of payload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higher exposure of CR-003 as measured by the area under the curve (“AUC”) creates an opportunity for enhanced efficacy, which could be a compelling advantage in the clinical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6172200" cy="1491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80" w:firstLine="2175"/>
        <w:spacing w:after="0" w:line="439" w:lineRule="auto"/>
        <w:rPr>
          <w:sz w:val="20"/>
          <w:szCs w:val="20"/>
          <w:color w:val="auto"/>
        </w:rPr>
      </w:pPr>
      <w:r>
        <w:rPr>
          <w:rFonts w:ascii="Times New Roman" w:cs="Times New Roman" w:eastAsia="Times New Roman" w:hAnsi="Times New Roman"/>
          <w:sz w:val="18"/>
          <w:szCs w:val="18"/>
          <w:i w:val="1"/>
          <w:iCs w:val="1"/>
          <w:color w:val="auto"/>
        </w:rPr>
        <w:t>Figure 16. CR-003 had enhanced stability and superior half-life compared to SGN-B6A in mice Clinical development plans for CR-003</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partnership with Kelun was designed to accelerate clinical development of both CR-001 and CR-003. Kelun received IND approval to initiate a Phase 1/2 trial for SKB105 from the Center for Drug Evaluation of the National Medical Products Administration of China with initial data expected in the first quarter of 2027, followed quickly by the initiation of a CR-001 and CR-003 combination trial in early 2027 with first data expected by year-end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market potential of our product candidates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vision is to transform cancer treatment by advancing a portfolio of best-in-class drug candidates through clinical development. To this end, we are actively evaluating candidates in our CR-004 program to further expand our pipeline.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the initiation of four clinical trials of our product candidates in 2026 including the first trial of CR-001 in combination with an ADC.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120015</wp:posOffset>
            </wp:positionV>
            <wp:extent cx="6172200" cy="2143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Figure 17. Multiple clinical trial initiations in 2026 and data readouts in 2027 are anticipated</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candidates were chosen based on their potential to each treat a broad spectrum of tumors, both as monotherapies and in combinations. We intend to continue to expand our pipeline with promising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1440" w:right="439" w:bottom="1440" w:gutter="0" w:footer="0" w:header="0"/>
        </w:sectPr>
      </w:pPr>
    </w:p>
    <w:bookmarkStart w:id="101" w:name="page102"/>
    <w:bookmarkEnd w:id="10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that have the potential to work in synergy with our existing candidates as well as to address areas in which there is high unmet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606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720" w:firstLine="750"/>
        <w:spacing w:after="0" w:line="439" w:lineRule="auto"/>
        <w:rPr>
          <w:sz w:val="20"/>
          <w:szCs w:val="20"/>
          <w:color w:val="auto"/>
        </w:rPr>
      </w:pPr>
      <w:r>
        <w:rPr>
          <w:rFonts w:ascii="Times New Roman" w:cs="Times New Roman" w:eastAsia="Times New Roman" w:hAnsi="Times New Roman"/>
          <w:sz w:val="18"/>
          <w:szCs w:val="18"/>
          <w:i w:val="1"/>
          <w:iCs w:val="1"/>
          <w:color w:val="auto"/>
        </w:rPr>
        <w:t xml:space="preserve">Figure 18. Our product candidates are positioned to address $B market opportunities in a broad range of tumors with high unmet need </w:t>
      </w:r>
      <w:r>
        <w:rPr>
          <w:rFonts w:ascii="Times New Roman" w:cs="Times New Roman" w:eastAsia="Times New Roman" w:hAnsi="Times New Roman"/>
          <w:sz w:val="18"/>
          <w:szCs w:val="18"/>
          <w:b w:val="1"/>
          <w:bCs w:val="1"/>
          <w:color w:val="auto"/>
        </w:rPr>
        <w:t>Crescent’s Team, Investors, and Paragon Collaboration</w:t>
      </w:r>
    </w:p>
    <w:p>
      <w:pPr>
        <w:spacing w:after="0" w:line="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transaction, Pre-Merger Crescent was established and incorporated under the laws of the state of Delaware on September 19, 2024.</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Pre-Merger Crescent was launched to research and develop antibody and ADC candidates licensed from Paragon, an antibody discovery engine founded by Fairmount Funds Management LLC (“Fairmount”), and led by industry veterans with extensive experience in drug discovery. Pre-Merger Crescent entered into the Antibody Discovery and Option Agreement, dated September 19, 2024 (the “Antibody Paragon Option Agreement”), and the Amended and Restated ADC Discovery and Option Agreement, dated April 28, 2025 (the “ADC Paragon Option Agreement” and together with the Antibody Paragon Option Agreement, the “Paragon Option Agreements”), each by and among Pre-Merger Crescent, Paragon Therapeutics, Inc. (“Paragon”) and Parascent Holding LLC (“Parascent”), pursuant to which Paragon agreed to perform certain research activities to discover, generate, identify, and characterize antibody or ADC candidates, as applicable, directed to the selected targets PD-1 and VEGF for CR-001, an undisclosed target for CR-002, and three undisclosed targets for the product candidate formerly referred to as CR-003 (“Former CR-003”). Pursuant to the Paragon Option Agreements, we have licensed intellectual property rights with respect to CR-001 and CR-002 hold an option to acquire intellectual property rights with respect to Former CR-003 from Paragon. Following the exercise of the options under the Paragon Option Agreements and execution of the respective license agreements, we have or will have exclusive worldwide development and commercialization rights to our programs. Pre-Merger Crescent exercised the option with respect to CR-001 in March 2025 and entered into the related license agreement in April 2025 pursuant to the Antibody Paragon Option Agreement. We exercised the option with respect to CR-002 in September 2025 and entered into the related license agreement in November 2025 pursuant to the ADC Paragon Option Agreement. See the sections titled “—CR-001 License Agreement” and “—CR-002 License Agreement” below. Our option to acquire the intellectual property rights to Former CR-003 under the ADC Paragon Option Agreement currently remain unexercised.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led by an experienced management team. Our Chief Executive Officer, Joshua Brumm, who also serves as a Director of our company, brings deep experience in company building, business strategy, and product development. Mr. Brumm previously was a general partner at Forbion, and prior to Forbion, was President and CEO of Dyne Therapeutics where he led the company through its initial public offering and advanced two rare muscle disease programs to positive data demonstrating clinical proof of concept. Jonathan McNeill serves as our Chief Operating Officer and President, bringing extensive experience in corporate strategy, business development and financing in multiple therapeutic areas, including oncology and rare disease. Dr. McNeill previously was at Dyne Therapeutics for more than five years, most recently as Chief Business Officer, where he led business development, executed multiple financings totaling more than $1 billion, and was a key member of the executive team that advanced two neuromuscular disease programs through clinical proof of concept trials. Ellie Im serves as our Chief Medical Officer. Dr. Im brings deep experience in oncology clinical development and operations across different modalities, including ADCs and bispecific antibodies, having led the clinical development for both Jemperli (GlaxoSmithKline) and Keytruda (Merck). Jan Pinkas, Ph.D., serves as our Chief Scientific Officer and brings more than two decades of experience in oncology drug development, leading preclinical and translational research with expertise in multiple modalities, including antibody-drug conjugates (ADCs). Dr. Pinkas most recently served in a similar role as the Chief Scientific Officer at Pyxis Oncology. Richard Scalzo serves as our Chief Financial Officer, bringing significant life science and public company finance experience. Previously, Mr. Scalzo spent more than five years at Dyne Therapeutics where he most recently was the Senior Vice President, Head of Finance of Administration, and led the company’s transition to a public company and assisted in the execution of multiple functions. Christopher Doughty, our Chief Business Officer, served in a similar role at Prometheus Biosciences, and as Vice President Strategy &amp; Business Development at Strata Oncology. Our remaining management team includes Barbara Bispham, who serves as General Counsel and Secretary, and Ryan Lynch, who serves as Treasurer, Senior Vice President of Finance and Chief Accounting Officer.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Paragon Option Agreements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party to the Paragon Option Agreements with Paragon and Parascent. At the time of entry into the Paragon Option Agreements, Paragon and Parascent each beneficially owned more than 5% of a class of Pre-Merger Crescent’s voting securities through their respective holdings of Pre-Merger Crescent common stock, although neither own more than 5% of our common stock following the closing of the Merger. Fairmount beneficially owns more than 5% of a class of our voting securities, two of our directors are affiliated with Fairmount (Peter Harwin and Jonathan Violin) and Fairmount beneficially owns more than 5% of Paragon. Fairmount appointed Paragon’s board of directors and has the contractual right to approve the appointment of any executive officers of Paragon. Parascent is an entity formed by Paragon as a vehicle to hold equity in Crescent in order to share profits with certain employees of Paragon and will not perform any substantive role under the Paragon Option Agreements other than to receive warrants granted to Parascent under the Paragon Option Agreements.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September 19, 2024, Pre-Merger Crescent entered into the Antibody Paragon Option Agreement with Paragon and Parascent. On October 28, 2024, Pre-Merger Crescent entered into the ADC Paragon Option Agreement with Paragon and Parascent, which was subsequently amended and restated on April 28, 2025. Under the terms of the Paragon Option Agreements, Paragon agreed to perform certain research activities to discover, generate, identify, and characterize one or more antibody candidates, in the case of the Antibody Paragon Option Agreement, and one or more antibody drug conjugates, in the case of the ADC Paragon Option Agreement, directed to certain mutually agreed therapeutic targets of interest to us (each, a “Research Program”). The Antibody Paragon Option Agreement includes two selected targets for CR-001: PD-1 and VEGF. The ADC Paragon Option Agreement includes one target for CR-002, PD-L1, and three undisclosed targets for Former CR-003. From time to time, we can choose to add additional targets to the ADC Paragon Option Agreement by mutual agreement with Paragon and Parascent.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Paragon Option Agreements require us, Paragon, and Parascent to develop a research plan for each target that includes design, modeling, synthesis, evaluation, and other mutually agreed activities (each, a “Research Plan”), which activities primarily include performing preclinical studies. Paragon will perform the activities set forth in each Research Plan on the timelines set forth in such Research Plan and in compliance with a mutually agreed budget. Each Research Program will be overseen and coordinated by a joint development committee consisting of two employees from us and two employees from Paragon, with us and Paragon each having one vote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decisions of the committee. When Paragon and Parascent have produced an antibody or ADC, as applicable, against a selected target, and upon the completion of each Research Program, Paragon and Parascent will deliver to us a data package that includes sequence information for all then-existing antibodies or ADCs, as applicable, and information directed to such target. We, Paragon, and Parascent have developed a Research Plan for CR-001 and CR-002 consistent with the foregoing, and Paragon and Parascent have delivered an antibody against PD-1 and VEGF in accordance with such Research Plan.</w:t>
      </w:r>
    </w:p>
    <w:p>
      <w:pPr>
        <w:spacing w:after="0" w:line="1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Under the Paragon Option Agreements, we have an “Option”, on a Research Program-by-Research Program basis, to enter into a separate agreement with Paragon consistent with a set of pre-negotiated terms (a “License Agreement”). Each License Agreement will include (a) an exclusive, worldwide license to all of Paragon’s right, title, and interest in and to the intellectual property resulting from the applicable Research Program to develop, manufacture, and commercialize the monospecific antibodies or ADCs, as applicable, and products directed to the selected target(s), and (b) an exclusive (in the case of the Antibody Paragon Option Agreement) or non-exclusive (in the case of the ADC Paragon Option Agreement), worldwide license to all of Paragon’s right, title, and interest in and to the intellectual property resulting from the applicable Research Program to develop, manufacture, and commercialize multispecific antibodies or ADCs, as applicable, and products directed to the selected target(s). Additionally, each License Agreement under the ADC Paragon Option Agreement will include a non-exclusive, worldwide license to certain patents controlled by Paragon or its affiliates that (i) include a claim that expressly recites the sequence of the monospecific antibody included in the ADC, or derived from the ADC, applicable to the Research Program, and</w:t>
      </w:r>
    </w:p>
    <w:p>
      <w:pPr>
        <w:spacing w:after="0" w:line="6" w:lineRule="exact"/>
        <w:rPr>
          <w:sz w:val="20"/>
          <w:szCs w:val="20"/>
          <w:color w:val="auto"/>
        </w:rPr>
      </w:pPr>
    </w:p>
    <w:p>
      <w:pPr>
        <w:ind w:firstLine="8"/>
        <w:spacing w:after="0" w:line="251"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to develop, manufacture, commercialize or otherwise exploit the ADC or derived ADCs applicable to the Research Program, but exclude any patents owned or otherwise controlled by Paragon or its affiliates that cover the composition of matter of, or any method of specifically making or using, a multispecific ADC or a multispecific product directed to targets other than the CR-002 target that is developed, manufactured, commercialized or otherwise exploited by Paragon or its affiliate or sublicensee (other than us and our affiliates and sublicensees). Each License under the ADC Paragon Option Agreement will further include a right of first negotiation for a set period of time after the execution of the License Agreement with regard to any multispecific ADCs or products that are developed by Paragon. The Option with respect to each Research Program is exercisable at our sole discretion at any time during the period beginning on the initiation of activities under the associated Research Program and ending a specified number of days following the delivery of the data package from Paragon related to the results of the Research Program (an “Option Period”). There is no payment due upon exercise of an Option pursuant to the Paragon Option Agreements. Activities under a Research Plan may continue past the exercise of an Option or entry into a License Agreement. Pre-Merger Crescent exercised the Option with respect to CR-001 in March 2025 and entered into the related License Agreement in April 2025 pursuant to the Antibody Paragon Option Agreement. We exercised the option with respect to CR-002 in September 2025 and entered into the related license agreement in November 2025 pursuant to the ADC Paragon Option Agreement. See the sections titled “—CR-001 License Agreement” and “—CR-002 License Agreement” below. Our Option to acquire the intellectual property rights to Former CR-003 under the ADC Paragon Option Agreement currently remain unexercised.</w:t>
      </w:r>
    </w:p>
    <w:p>
      <w:pPr>
        <w:spacing w:after="0" w:line="1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Upon exercise of an Option with respect to a Research Program, the parties are obligated to use reasonable efforts to finalize and execute a License Agreement within 30 days. Under the terms of a License Agreement, we expect that we will have sole authority over and control of the development, regulatory approval, manufacturing and commercialization of such in-licensed intellectual property worldwide. In addition, we expect to have sole authority over and control of the application for and issuance of all regulatory approvals related to such in-licensed intellectual property. Prior to entry into a License Agreement, Paragon is responsible for the prosecution, defense, maintenance and enforcement of patents related to the Research Program. Following entry into a License Agreement, we expect to control prosecution, defense, maintenance and enforcement of patents in-licensed under such License Agreement. However, there is no assurance that we will successfully negotiate future License Agreements with Paragon or that the terms will not differ from those described in this prospectus.</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terminated earlier, the Paragon Option Agreements shall continue in force on a Research Program-by-Research Program basis until the later of: (i) the end of the Option Period for such Research Program, as applicable, if such Option is not exercised by us; (ii) if we exercise our Option with respect to a Research Program, but the parties are unable to finalize and execute a License Agreement within 30 days, the expiration of such 30-day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(subject to any mutually agreed extension of such period); and (iii) the expiration of the applicable Research Term (as defined under the applicable Paragon Option Agreement). We may terminate any Paragon Option Agreement or any Research Program at any time for any or no reason upon 30 days’ prior written notice to Paragon; provided, that we must pay certain unpaid fees due to Paragon upon such termination, as well as any non-cancellable obligations reasonably incurred by Paragon in connection with its activities under any terminated Research Program. Paragon may terminate any Paragon Option Agreements or any Research Program immediately upon written notice to us if, as a result of any action or failure to act by us or our affiliates, such Research Program or all material activities under the applicable Research Plan are suspended, discontinued or otherwise delayed for a certain consecutive number of months. Each party has the right to terminate any Paragon Option Agreement or any Research Program upon (i) 30 days’ prior written notice of the other party’s material breach that remains uncured for the 30-day period and (ii) the other party’s bankruptcy.</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Upon signing of the Antibody Paragon Option Agreement, Pre-Merger Crescent was required to reimburse Paragon $1.5 million for upfront research and development costs related to CR-001 and other general and administrative costs incurred by Paragon prior to September 19, 2024. Contemporaneously, Pre-Merger Crescent also issued an aggregate of 5,000,000 shares of Pre-Merger Crescent common stock to Paragon for aggregate non-cash upfront consideration of Paragon’s entry into the Antibody Paragon Option Agreement, valued at $0.20 per share, for a total of $1.0 million. Paragon subsequently contributed 2,500,000 of such shares to Parascent. The $1.5 million of research and development costs related to CR-001 reflects the actual historical direct costs incurred by Paragon as well as a 20% mark-up on the direct costs to approximate the indirect costs incurred by Paragon from the inception of the CR-001 program to the entry into the Antibody Paragon Option Agreement. All of the costs reflected in the upfront amount were incurred by Paragon between January 1, 2024 and the parties’ entry into the Paragon Option Agreement. Such direct costs were related to development activities. Of these upfront development costs related to CR-001 incurred by Paragon prior to September 19, 2024, a total of $1.5 million was recognized as research and development expense and less than $0.1 million was recognized as general and administrative expense during the period from September 19, 2024 (inception) to December 31, 2024. Pre-Merger Crescent paid $1.5 million to Paragon in November 2024. The non-cash upfront consideration was recorded as research and development expense in Pre-Merger Crescent’s consolidated statement of operations and comprehensive loss during the period from September 19, 2024 (inception) to December 31, 2024 as related IP license fees associated with entering into the Option Agreement. We are also required to pay Paragon for certain development fees and costs on a Research Program-by-Research Program basis. Paragon had no investments, intangibles, debt, or other assets or liabilities related to the CR-001 program aside from standard operating liabilities that were included in the upfront amount paid by Crescent to Paragon. Paragon’s cash flows related to the CR-001 program were operating cash flows and this categorization is consistent with the presentation of research and development expense-related cash flows, as presented on our consolidated statement of cash flows.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required to pay Paragon for certain development fees and costs on a Research Program-by-Research Program basis. Under the Paragon Option Agreements, Pre-Merger Crescent was required to pay Paragon a one-time, non-refundable research initiation fee within 30 days following finalization of a Research Plan in the amount of $1.3 million for CR-001, $2.5 million for CR-002, and $2.5 million for CR-003, which amounts were paid by Pre-Merger Crescent in December 2024 for each of CR-001 and CR-002. Under the Paragon Option Agreements, on a Research Program-by-Research Program basis, we are required to make one-time non-refundable milestone payments to Paragon of up to a total of $22.0 million for CR-001, $46.0 million for CR-002, and $46.0 million for CR-003 upon the achievement of certain clinical development and regulatory milestones. Pre-Merger Crescent paid a $1.5 million milestone payment to Paragon in connection with the achievement of a development candidate for CR-001, which was expensed as development costs for the fiscal year ended December 31, 2024 and paid in January 2025.</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exercise of the Option with respect to a Research Program, the parties are obligated to use reasonable efforts to finalize and execute a License Agreement within 30 days. Any License Agreement entered into with respect to a given Research Program shall contain the same milestone payment obligations as the applicable Paragon Option Agreement, provided that any milestone set in such Paragon Option Agreement that has not yet been achieved and is duplicated in such License Agreement shall no longer be achievable and payable under the terms of such Paragon Option Agreement and shall only be achievable under the terms of the License Agreement.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avoidance of doubt, if a milestone is achieved and paid by us pursuant to a Paragon Option Agreement for a certain Research Program, then there shall be no milestone payment due for the achievement of such milestone under a subsequently executed License Agreement for such Research Program. Further, under a License Agreement, we would also be required to make royalty payments to Paragon in the low single-digit percentage range based on net sales of products, subject to certain reductions. The royalty term will terminate on a product-by-product and country-by-country basis upon the later of the expiration of the last-to-expire valid claim within the relevant patent rights or the twelfth anniversary of the first commercial sale of such product in such country.</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as part of the Paragon Option Agreements, on December 31, 2025, we granted, and on December 31, 2026, we will grant, Parascent warrants to purchase a number of shares equal to 1.00% of our outstanding capital stock as of the date of the grant on a fully-diluted basis, with an exercise price equal to the fair market value of our underlying shares on each respective grant date. Parascent is an entity formed by Paragon as a vehicle to hold equity in Crescent in order to share profits with certain employees of Paragon and will not perform any substantive role under the Paragon Option Agreements other than to receive such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we have paid Paragon (i) $15.7 million under the Antibody Paragon Option Agreement for development costs related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PD-1 and VEGF incurred by Paragon through the effective date of the agreement, including pre-development costs, (ii) $13.9 million under the ADC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Option Agreement for development costs related to the CR-002 target incurred by Paragon through the effective date of the agreement, and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million under the ADC Paragon Option Agreement for development costs related to the three undisclosed Former CR-003 targets incurred by Paragon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effective date of the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CR-001 License Agreement</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April 28, 2025, we entered into a License Agreement for all antibodies discovered, generated, identified or characterized by Paragon in the course of performing the CR-001 research program directed to PD-1 and VEGF, antibodies created by us derived from the licensed antibodies and directed to PD-1 and VEGF, and products that comprise the foregoing with Paragon (the “CR-001 License Agreement”) consistent with the pre-negotiated terms agreed to upon execution of the Antibody Paragon Option Agreement, pursuant to which Paragon granted us a royalty-bearing, worldwide, exclusive and sublicensable license with respect to certain inventions, patent rights, sequence information and other intellectual property rights related to bispecific and multispecific antibodies directed at PD-1 and VEGF (the “Licensed Antibody Technology”) to develop, manufacture, commercialize and otherwise exploit certain bispecific and multispecific antibodies and products targeting PD-1 and VEGF in the field of prophylaxis, palliation, treatment and diagnosis of human disease and disorders in all therapeutic areas (the “field”) and worldwide (the “territory”). Under the terms of the CR-001 License Agreement, we are obligated to pay Paragon up to $22.0 million based on specific development and regulatory milestones, including a $1.5 million fee for the nomination of a development candidate and a further milestone payment of $2.5 million upon the first dosing of a human patient in a Phase 1 trial. Following the execution of the CR-001 License Agreement, we are solely responsible for, and have sole authority and control over, all aspects of the development, manufacturing and commercialization of CR-001, including regulatory strategy, communications, filings and activities (including clinical trials). In addition, the following summarizes other key terms of the CR-001 License Agreement.</w:t>
      </w:r>
    </w:p>
    <w:p>
      <w:pPr>
        <w:spacing w:after="0" w:line="133" w:lineRule="exact"/>
        <w:rPr>
          <w:sz w:val="20"/>
          <w:szCs w:val="20"/>
          <w:color w:val="auto"/>
        </w:rPr>
      </w:pPr>
    </w:p>
    <w:p>
      <w:pPr>
        <w:ind w:left="660" w:right="4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Paragon a low-to-mid single-digit percentage royalty based on annual net sales of the products in the field and in the territory, subject to a 30% reduction if there is no valid patent covering the product in the country.</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term ends on the later of (i) the twelfth anniversary of such date or (ii) the expiration of the last-to-expire valid patent covering the product in the country at issue.</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CR-001 License Agreement may be terminated on 60 days’ notice by us; on material breach without cure; and to the extent permitted by law, on a party’s insolvency or bankruptcy.</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patents licensed to us under the CR-001 License Agreement that have been filed as of the effective date of the CR-001 License Agreement, we will control the preparing, filing, prosecuting and maintenance of such patents. With respect to patents filed after the effective date of the CR-001 License Agreement, Paragon will control the preparing, filing, prosecuting and maintaining of such patents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40"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final deliverable for the relevant research program is delivered to us, after which we will control the preparing, filing, prosecuting and maintain of such patents.</w:t>
      </w:r>
    </w:p>
    <w:p>
      <w:pPr>
        <w:spacing w:after="0" w:line="108" w:lineRule="exact"/>
        <w:rPr>
          <w:sz w:val="20"/>
          <w:szCs w:val="20"/>
          <w:color w:val="auto"/>
        </w:rPr>
      </w:pPr>
    </w:p>
    <w:p>
      <w:pPr>
        <w:ind w:left="660" w:hanging="328"/>
        <w:spacing w:after="0" w:line="26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the right to grant sublicenses under the CR-001 License Agreement, provided that (i) any sublicense agreement is consistent with all relevant terms, conditions and restrictions of the CR-001 License Agreement, (ii) we provide Paragon with a copy of each sublicense agreement and any amendments thereto within 30 days following execution thereof and (iii) we remain responsible for all payments and obligations due under the CR-001 License Agreement.</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2, 2025, we entered into Amendment No. 1 (the “Amendment”) to the CR-001 License Agreement. The purpose of the Amendment was to amend certain terms of the CR-001 License Agreement for the sole purpose of accommodating and aligning with the sublicense for the CR-001 License Agreement with Sichuan Kelun-Biotech Biopharmaceutical Co.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CR-002 License Agreement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5, 2025, we entered into a License Agreement for all ADCs discovered, generated, identified or characterized by Paragon in the course of performing the CR-002 research program directed to PD-L1, ADCs created by us derived from the licensed ADCs and directed to PD-L1, and products that comprise the foregoing with Paragon (the “CR-002 License Agreement”) consistent with the pre-negotiated terms agreed to upon execution of the ADC Paragon Option Agreement, pursuant to which Paragon granted us a royalty-bearing, worldwide, exclusive and sublicensable license with respect to certain inventions, patent rights, sequence information and other intellectual property rights related to ADCs directed at PD-1 and VEGF (the “Licensed Antibody Technology”) to develop, manufacture, commercialize and otherwise exploit certain ADCs and products targeting PD-L1 in the field of prophylaxis, palliation, treatment and diagnosis of human disease and disorders in all therapeutic areas (the “field”) and worldwide (the “territory”). Under the terms of the CR-002 License Agreement, we are obligated to pay Paragon up to $46.0 million based on specific development and regulatory milestones, including a $5.0 million fee for the nomination of a development candidate and a further milestone payment of $5.0 million upon the first dosing of a human patient in a Phase 1 trial. Following the execution of the CR-002 License Agreement, we are solely responsible for, and have sole authority and control over, all aspects of the development, manufacturing and commercialization of CR-002, including regulatory strategy, communications, filings and activities (including clinical trials). In addition, the following summarizes other key terms of the CR-002 License Agreement.</w:t>
      </w:r>
    </w:p>
    <w:p>
      <w:pPr>
        <w:spacing w:after="0" w:line="136" w:lineRule="exact"/>
        <w:rPr>
          <w:sz w:val="20"/>
          <w:szCs w:val="20"/>
          <w:color w:val="auto"/>
        </w:rPr>
      </w:pPr>
    </w:p>
    <w:p>
      <w:pPr>
        <w:ind w:left="660" w:right="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Paragon a low-to-mid single-digit percentage royalty based on annual net sales of the products in the field and in the territory, subject to a 30% reduction if there is no valid patent covering the product in the country.</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term ends on the later of (i) the twelfth anniversary of such date or (ii) the expiration of the last-to-expire valid patent covering the product in the country at issue.</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CR-002 License Agreement may be terminated on 60 days’ notice by us; on material breach without cure; and to the extent permitted by law, on a party’s insolvency or bankruptcy.</w:t>
      </w:r>
    </w:p>
    <w:p>
      <w:pPr>
        <w:spacing w:after="0" w:line="107"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patents licensed to us under the CR-002 License Agreement that have been filed as of the effective date of the CR-002 License Agreement, we will control the preparing, filing, prosecuting and maintenance of such patents. With respect to patents filed after the effective date of the CR-002 License Agreement, Paragon will control the preparing, filing, prosecuting and maintaining of such patents until the final deliverable for the relevant research program is delivered to us, after which we will control the preparing, filing, prosecuting and maintain of such patents.</w:t>
      </w:r>
    </w:p>
    <w:p>
      <w:pPr>
        <w:spacing w:after="0" w:line="12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the right to grant sublicenses under the CR-002 License Agreement, provided that (i) any sublicense agreement is consistent with all relevant terms, conditions and restrictions of the CR-002 License Agreement, (ii) we provide Paragon with a copy of each sublicense agreement and any amendments thereto within 30 days following execution thereof and (iii) we remain responsible for all payments and obligations due under the CR-002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 with Sichuan Kelun-Biotech Biopharmaceutical Co., Ltd.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2, 2025, we entered into a License and Collaboration Agreement (the “Kelun Collaboration Agreement”) with Sichuan Kelun-Biotech Biopharmaceutical Co., Ltd. (“Kelun”) pursuant to which Kelun granted us an exclusive, royalty-bearing, sublicensable license under certain intellectual property rights controlled by Kelun to develop, manufacture, commercialize and otherwise exploit certain products comprising SKB105 and any backups to SKB105 that are directed to integrin beta-6 and controlled by Kelun (“Licensed Products”), for all therapeutic, prophylactic and diagnostic uses in humans worldwide, except mainland China, Hong Kong, Macau and Taiwan (the “Crescent Territory”). Kelun granted us a non-exclusive license to develop (but only with Kelun’s prior written consent) and manufacture Licensed Products in mainland China, Hong Kong, Macau and Taiwan (the “Kelun Territory”), solely for the purpose of exploiting the Licensed Products in the Crescent Territory. We granted to Kelun an exclusive, royalty-free, sublicensable license under certain intellectual property rights controlled by us for Kelun to (a) fulfill its obligations under the Kelun Collaboration Agreement, and (b) develop, manufacture, commercialize and otherwise exploit Licensed Products in the Kelun Territory.</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term of the Kelun Collaboration Agreement, both we and Kelun are restricted from developing, manufacturing, commercializing or otherwise exploiting any product containing any antibody-drug conjugate that is linked to a single small molecule cytotoxin and specifically directed to integrin beta-6 (subject to certain exceptions in the event of a change of control or similar transaction of either us or Kelun), except for Licensed Products.</w:t>
      </w:r>
    </w:p>
    <w:p>
      <w:pPr>
        <w:spacing w:after="0" w:line="12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are obligated to use commercially reasonable efforts to develop, including by achieving certain regulatory milestone obligations within specified timelines, obtain regulatory approval for, manufacture, and commercialize at least one Licensed Product in United States and at least three major European markets. As partial consideration for the license granted to us by Kelun, we paid Kelun an upfront payment of $80 million. We are obligated to pay Kelun</w:t>
      </w:r>
    </w:p>
    <w:p>
      <w:pPr>
        <w:spacing w:after="0" w:line="2" w:lineRule="exact"/>
        <w:rPr>
          <w:sz w:val="20"/>
          <w:szCs w:val="20"/>
          <w:color w:val="auto"/>
        </w:rPr>
      </w:pPr>
    </w:p>
    <w:p>
      <w:pPr>
        <w:ind w:right="40" w:firstLine="8"/>
        <w:spacing w:after="0" w:line="251" w:lineRule="auto"/>
        <w:tabs>
          <w:tab w:leader="none" w:pos="2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regulatory milestone payments of up to an aggregate of $345 million, (b) commercial milestone payments of up to an aggregate of $902.5 million, and (c) tiered royalties ranging from a mid-single-digit to low double-digit percentages of net sales of Licensed Products by us, our affiliates or sublicensees, subject to certain customary reductions. Our obligation to pay Kelun royalties will commence, on a Licensed Product-by-Licensed Product and country-by-country basis, on the first commercial sale of such Licensed Product in such country and expire on the latest of the expiration of the last-to-expire Kelun licensed patent covering the manufacture, use or sale of such Licensed Product in such country, expiration of all regulatory exclusivity for such Licensed Product in such country, and twelve years following the first commercial sale of such Licensed Product in such country (the “Royalty Term”). If we sublicense, assign, sell or otherwise divest our rights to develop or commercialize any Licensed Product under the Kelun Collaboration Agreement to a third party, we are obligated to pay Kelun either a low double-digit (if such transaction occurs prior to a specified milestone event) or mid-double digit percentage (if such transaction takes place after a specified milestone event) of all the consideration we receive from such third party within a certain period of time. In addition, if we enter into or undergo a change of control within a certain period following the effective date of the Kelun Collaboration Agreement, we are obligated to pay Kelun a low single-digit to low double-digit percentage (depending how long after the effective date the change of control occurs) of all payments our equity holders receive in connection with the change of control.</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earlier terminated, the Kelun Collaboration Agreement will expire upon the expiration of the final Royalty Term with respect to all Licensed Products. We may terminate the Kelun Collaboration Agreement in its entirety without cause upon advanced written notice to Kelun. Either we or Kelun may terminate the Kelun Collaboration Agreement, in its entirety or on a Product-by-Product and country-by-county basis, in the event of the other party’s material breach, subject to certain notice and cure periods. Either we or Kelun may terminate the Kelun Collaboration Agreement upon written notice to the other party upon the occurrence of certain insolvency events regarding such other party. Kelun may terminate the Kelun Collaboration Agreement if we or our sublicensees challenge the patents licensed to us by Kelun, subject to certain exceptions.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termination of the Kelun Collaboration Agreement for any reason, all rights and licenses granted to us will terminate, subject to certain exceptions, and we are obligated to deliver and assign to Kelun all regulatory filings and registrations for the Licensed Products in the Crescent Territory, and disclose to Kelun all data generated by us in any clinical trials related to the Licensed Products. In addition, upon termination of the Kelun Collaboration Agreement by us without cause or by Kelun for our material breach, patent challenge or insolvency, we grant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Kelun a non-exclusive, royalty-free, perpetual, sublicensable license under certain intellectual property rights controlled by us for Kelun to develop, manufacture and commercialize Licensed Products worldwide, and upon Kelun’s request, we are obligated to exclusively negotiate in good faith with Kelun commercially reasonable financial terms upon which we would grant to Kelun an exclusive license under certain of our intellectual property rights to develop, manufacture and commercialize Licensed Products worldwide or within the countries designated by Kelun.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Sichuan Kelun-Biotech Biopharmaceutical Co., Ltd.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2, 2025, we entered into a License Agreement (the “Kelun License Agreement”) with Kelun, pursuant to which we granted Kelun (a) an exclusive, worldwide, royalty-bearing, sublicensable license under certain intellectual property rights controlled by us for Kelun to develop, manufacture and commercialize and otherwise exploit products comprising CR-001 and any backup bispecific antibodies that are directed to both VEGF and PD-1 that are controlled by us (the “Licensed Products”), for the treatment, prevention, or diagnosis of human diseases in the Kelun Territory and (b) a non-exclusive, royalty-free, sublicensable license to develop Licensed Products outside of the Kelun Territory solely for the purpose of supporting exploitation of Licensed Products in the Kelun Territory, subject to our prior written consent, and to manufacture Licensed Products in the Kelun Territory solely to develop, commercialize and otherwise exploit the Licensed Products in the Kelun Territory. During the term of the Kelun License Agreement, neither we nor Kelun may develop, manufacture, commercialize or otherwise exploit any product containing a bi-specific antibody directed to both PD-1 and VEGF anywhere in the world, other than Licensed Products.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Kelun is obligated to use commercially reasonable efforts to develop, and following regulatory approval, commercialize at least one Licensed Product in the Kelun Territory. As partial consideration for the license granted by us to Kelun, Kelun will pay us an upfront payment of $20 million. Kelun is obligated to pay us development milestones of up to an aggregate of $30 million. We may also be obligated to pay Kelun $5 million as a milestone payment for Kelun’s initiation of certain clinical trials of a Licensed Product, including a combination clinical trial with a specific compound, in each case, subject to approval by us. In addition, Kelun is obligated to pay us tiered royalties on net sales of Licensed Product by Kelun, its affiliates and sublicensees, subject to customary royalty offsets, ranging from low single-digit to mid-single -digit percentages of such net sales of Licensed Products. Kelun’s obligation to pay royalties will commence, on a Licensed-Product-by Licensed Product and region-by-region basis, on the first commercial sale of such Licensed Product in such region and expire on the later of: (A) the last-to-expire valid claim of a patent that covers the manufacture, use or sale of Licensed Product in the applicable region, (B) the expiration of all regulatory exclusivity for such Licensed Product in such region or (C) the date that is twelve years after the first commercial sale of such Licensed Product in such region (the “Royalty Term”).</w:t>
      </w:r>
    </w:p>
    <w:p>
      <w:pPr>
        <w:spacing w:after="0" w:line="1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Unless earlier terminated, the Kelun License Agreement will expire upon the expiration of the final Royalty Term with respect to all Licensed Products. Either we or Kelun may terminate the Kelun License Agreement, in its entirety or on a Product-by-Product and region-by-region basis, in the event of the other party’s material breach, subject to certain notice and cure periods. Either we or Kelun may terminate the Kelun License Agreement upon written notice to the other party upon the occurrence of certain insolvency events regarding the other party, and we may terminate the Kelun License agreement if Kelun, its affiliates or sublicensees challenge the patents licensed to Kelun by us, subject to certain exceptions. Kelun may terminate the agreement in its entirety for any reason or no reason at all upon prior written notice.</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Upon termination of the Kelun License Agreement for any reason, all rights and licenses granted to Kelun will terminate, subject to certain exceptions, and Kelun is obligated to deliver and assign to us all regulatory filing and registrations for the Licensed Products in the Kelun Territory, and disclose to us all data generated under certain clinical trials related to the Licensed Products. In addition, upon termination of the Kelun License Agreement by Kelun without cause, or upon our termination of the Kelun License Agreement for Kelun’s material breach, patent challenge or insolvency, Kelun grants to us a non-exclusive, royalty-free, perpetual, sublicensable license under certain intellectual property rights controlled by Kelun to develop, manufacture and commercialize Licensed Products worldwide, and upon our request, Kelun is obligated to exclusively negotiate in good faith with us commercially reasonable financial terms upon which Kelun would grant to us an exclusive license under certain of Kelun’s intellectual property rights to develop, manufacture or commercialize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WuXi Biologics Master Services Agreement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31, 2024, we entered into a biologics master services agreement (the “WuXi Biologics MSA”) with WuXi Biologics (Hong Kong) Limited (“WuXi Biologics (Hong Kong)”). The WuXi Biologics MSA governs certain development activities and good manufacturing practice (“GMP”) manufacturing and testing for the CR-001 and CR-002 programs, as well as potential future programs, on a work order basis. Under the WuXi Biologics MSA, we are obligated to pay WuXi Biologics (Hong Kong) a service fee and all non-cancellable obligations in the amount specified in each work order associated with the agreement for the provision of services. WuXi Biologics (Hong Kong) is obligated to, among other things, (i) perform manufacturing services in accordance with applicable standards and law using personnel with appropriate qualifications, and to manufacture product in accordance with cGMP, (ii) comply with confidentiality and invention assignment provisions, (iii) notify us of regulatory visits or inspections and provide redacted copies of any report or written communication received from such authorities in connection therewith and (iv) assign to us all right, title and interest in and to all intellectual property created or developed in connection with the provision of the services, and all intellectual property relating to such inventions, subject to certain exceptions.</w:t>
      </w:r>
    </w:p>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WuXi Biologics MSA terminates on the later of (i) October 31, 2029 or (ii) the completion of services under all work orders executed by the parties prior to October 31, 2029, unless terminated earlier. The term of each work order terminates upon completion of the services under such work order, unless terminated earlier. We can terminate the WuXi Biologics MSA or any work order (i) at any time upon 30 days’ prior written notice, or (ii) immediately upon written notice if WuXi Biologics (Hong Kong) fails to obtain or maintain required material governmental licenses or approvals. Either party may terminate a work order (i) at any time upon six months’ prior notice with reasonable cause, provided however that if WuXi Biologics (Hong Kong) terminates a work order in such manner, no termination or cancellation fees shall be paid by us and (ii) immediately for cause upon (a) the other party’s material breach that remains uncured for 30 days after notice of such breach, (b) the other party’s bankruptcy, or (c) a force majeure event that prevents performance for a period of at least 90 days.</w:t>
      </w:r>
    </w:p>
    <w:p>
      <w:pPr>
        <w:spacing w:after="0" w:line="138" w:lineRule="exact"/>
        <w:rPr>
          <w:sz w:val="20"/>
          <w:szCs w:val="20"/>
          <w:color w:val="auto"/>
        </w:rPr>
      </w:pPr>
    </w:p>
    <w:p>
      <w:pPr>
        <w:ind w:right="760"/>
        <w:spacing w:after="0" w:line="438" w:lineRule="auto"/>
        <w:rPr>
          <w:sz w:val="20"/>
          <w:szCs w:val="20"/>
          <w:color w:val="auto"/>
        </w:rPr>
      </w:pPr>
      <w:r>
        <w:rPr>
          <w:rFonts w:ascii="Times New Roman" w:cs="Times New Roman" w:eastAsia="Times New Roman" w:hAnsi="Times New Roman"/>
          <w:sz w:val="18"/>
          <w:szCs w:val="18"/>
          <w:color w:val="auto"/>
        </w:rPr>
        <w:t xml:space="preserve">We have entered into various work orders pursuant to the WuXi Biologics MSA for ongoing manufacturing work related to CR-001 and CR-002. </w:t>
      </w:r>
      <w:r>
        <w:rPr>
          <w:rFonts w:ascii="Times New Roman" w:cs="Times New Roman" w:eastAsia="Times New Roman" w:hAnsi="Times New Roman"/>
          <w:sz w:val="18"/>
          <w:szCs w:val="18"/>
          <w:b w:val="1"/>
          <w:bCs w:val="1"/>
          <w:color w:val="auto"/>
        </w:rPr>
        <w:t>WuXi Cell Line License Agreement</w:t>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31, 2024, we entered into a cell line license agreement (the “Cell Line License Agreement”) with WuXi Biologics Ireland Limited (“WuXi Biologics Ireland”). Under the Cell Line License Agreement, we received a non-exclusive, worldwide, sublicensable license to certain of WuXi Biologics Ireland’s know-how, cell line, biological materials and media and feeds to make, have made, use, sell, have sold, offer for sale, import, keep and otherwise deal in and further commercialize certain therapeutic products produced through the use of the cell line licensed by WuXi Biologics Ireland under the Cell Line License Agreement (the “WuXi Biologics Ireland Licensed Products”). CR-001 and CR-002 are manufactured using cell lines licensed under Cell Line License Agreement.</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consideration for the license, we incurred a non-refundable license fee of $0.15 million. Additionally, if we manufacture all of our commercial supplies of bulk drug product for a particular product with a manufacturer other than WuXi Biologics Ireland or its affiliates, we are required to make royalty payments to WuXi Biologics Ireland in an amount equal to a fraction of a single digit percentage of global net sales of the WuXi Biologics Ireland Licensed Products manufactured by a third-party manufacturer (the “Royalty”). If we manufacture part of our commercial supplies of the WuXi Biologics Ireland Licensed Products with WuXi Biologics Ireland or its affiliates, then the Royalty will be reduced accordingly on a pro rata basis. We have the option, at any time, to pay WuXi Biologics Ireland a non-refundable lump-sum royalty buyout payment on a drug product-by-drug product basis to extinguish future Royalty obligations with respect to such drug product.</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six months’ prior written notice and our payment of all undisputed amounts due to WuXi Biologics Ireland through the effective date of termination, (ii) by WuXi Biologics Ireland for a material breach by us that remains uncured for 60 days after written notice, (iii) by WuXi Biologics Ireland if we fail to make a payment and such failure continues for 30 days after receiving notice of such failure, or (iv) by either party upon the other party’s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Charles River Master Services Agreement</w:t>
      </w:r>
    </w:p>
    <w:p>
      <w:pPr>
        <w:spacing w:after="0" w:line="17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On December 6, 2024, we entered into a master services agreement (the “Charles River MSA”) with Charles River Laboratories, Inc. (“Charles River”). The Charles River MSA governs certain clinical development activities and GMP manufacturing and testing for the CR-001 and CR-002 programs on a non-exclusive, work order basis (each, a “Statement of Work”). Under the Charles River MSA, we are obligated to pay Charles River a service fee in the amount specified in each Statement of Work associated with the agreement for the provision of services. Charles River is obligated to, among other things,</w:t>
      </w:r>
    </w:p>
    <w:p>
      <w:pPr>
        <w:spacing w:after="0" w:line="3" w:lineRule="exact"/>
        <w:rPr>
          <w:sz w:val="20"/>
          <w:szCs w:val="20"/>
          <w:color w:val="auto"/>
        </w:rPr>
      </w:pPr>
    </w:p>
    <w:p>
      <w:pPr>
        <w:ind w:right="120" w:firstLine="8"/>
        <w:spacing w:after="0" w:line="253"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manufacturing services in accordance with applicable standards and law using personnel with appropriate qualifications, and to manufacture product in accordance with cGMP, (ii) comply with confidentiality and invention assignment provisions, (iii) notify us of regulatory contact or communication and consult with us regarding the response to any inquiry or observation from any regulatory authority and (iv) assign to us all right, title and interest in and to all intellectual property created or developed in connection with the provision of the services, and all intellectual property relating to such inventions, subject to certain exceptions.</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Charles River MSA terminates on the later of (i) December 6, 2029, or (ii) the completion of services under all Statement of Works executed by the parties prior to December 6, 2029, unless terminated earlier. The term of each Statement of Work terminates upon completion of the services under such Statement of Work, unless terminated earlier. We can terminate the Charles River MSA or any Statement of Work (i) at any time upon 30 days’ prior written notice, or (ii) for material breach of the Charles River MSA by Charles River, (x) upon 30 days’ prior written notice if such breach is not remedied within the 30 day notice period or (y) upon 15 days’ prior written notice if such breach is not capable of cure within such 30 day period. Charles River can terminate the Charles River MSA or any Statement of Work upon 30 days’ prior written notice for material breach of the Charles River MSA by us if such breach is not remedied within the 30 day notice period or if such breach is not capable of cure within such 30 day notice period. Charles River can terminate any Statement of Work at any time upon 30 days’ prior written notice.</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entered into various Statements of Work pursuant to the Charles River MSA for certain assay development and toxicology work related to CR-001 and CR-002.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strive to protect the proprietary programs and technologies that we believe are important to our business, including seeking and maintaining patent protection intended to cover the composition of matter of our programs, their methods of use and manufacture, related technologies, diagnostics, and other inventions.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Paragon has filed U.S. provisional and non-provisional patent applications, and intends to file one or more additional U.S. provisional patent applications directed to antibodies that target PD-1 and VEGF, including applications covering composition of matter, pharmaceutical formulations, and methods of using such antibodies, including CR-001. In addition, Paragon has filed U.S. provisional patent applications, and intends to file one or more additional U.S. provisional patent applications directed to ADCs against various oncology targets, including applications covering composition of matter, pharmaceutical formulations, and methods of using such ADCs, including CR-002. Pursuant to each of the CR-001 and CR-002 License Agreements, we have exclusively licensed the rights to such PD-1 or VEGF patent applications and ADC patent applications, respectively. When the provisional patent applications are pursued non-provisionally and mature into one or more issued patents covering CR-001 or CR-002, we would expect those patents to expire between 2045 and 2046, absent any applicable patent term adjustments or extensions.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Kelun has filed patent applications in certain jurisdictions directed to antibodies and ADCs that target ITGB6, including applications covering composition of matter and methods of using such antibodies and ADCs, including CR-003. In addition, Crescent, alone or jointly with Kelun, may opt to file one or more additional patent applications covering pharmaceutical formulations, dosing, and methods of using ADCs, including CR-003. Pursuant to the CR-003 License Agreement, Crescent has exclusively licensed the rights to such ITGB6 antibody patent applications and ADC patent applications outside of Greater China (including mainland China, Hong Kong, Macau, Taiwan). If the patent applications filed by Kelun mature into one or more issued patents covering CR-003,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expect those patents to expire between 2042 and 2046, absent any applicable patent term adjustments or extensions.</w:t>
      </w:r>
    </w:p>
    <w:p>
      <w:pPr>
        <w:spacing w:after="0" w:line="17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significant part upon obtaining and maintaining patent protection and trade secret protection for our targeted therapeutics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targeted therapeutics, current programs and processes.</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potentially be lengthened by patent term adjustment (“PTA”), which compensates a patentee for administrative delays by the USPTO in examining and granting a patent. In the United States, the patent term of a patent that covers an FDA-approved drug may also be eligible for PTE, which permits patent term restoration as compensation for the patent term lost during the FDA regulatory review process. The Hatch-Waxman Act permits PTE of up to five years beyond the expiration of the patent. The length of the PTE accorded a patent is related to the length of time the drug is under regulatory review by the FDA. PTE cannot extend the remaining term of a patent beyond a total of 14 years from the date of product approval. Further, only one patent applicable to an approved drug may be extended, and only those claims covering the approved drug, a method for using it, or a method for manufacturing it may be extended. Similar provisions for extending the term of a patent that covers an approved drug are available in multiple European countries and other foreign jurisdictions. In the future, if and when our products receive FDA approval, we expect to apply for patent term extensions on patents covering those products. We expect to seek patent term extensions to all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 Patent term in the U.S. may be shortened if a patent is terminally disclaimed over an earlier-filed patent.</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some instances, we file provisional patent applications directly in the USPTO. Provisional patent applications are designed to provide a lower-cost first patent filing in the United States. Corresponding non-provisional patent applications must be filed not later than 12 months after the provisional application filing date. The corresponding non-provisional application benefits in that the priority date(s) of the non-provisional patent application is/are the earlier provisional application filing date(s), and the patent term of the finally issued patent is calculated from the earliest non-provisional application filing date. This system allows us to obtain an early priority date, obtain a later start to the patent term and to delay prosecution costs, which may be useful in the event that we decide not to pursue examination in a subsequent non-provisional application. While we intend, as appropriate, to timely file non-provisional patent applications relating to our provisional patent applications, we cannot predict whether any such non-provisional patent applications will result in the issuance of patents that provide us with any competitive advantage.</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intend to file U.S. non-provisional applications and/or international Patent Cooperation Treaty (“PCT”) applications that claim the benefit of the priority date of earlier filed provisional or non-provisional applications, when applicable. The PCT system allows for a single PCT application to be filed within 12 months of the priority filing date of a corresponding priority patent application, such as a U.S. provisional or non-provisional application, and to designate all of the 158 PCT contracting states in which national phase patent applications can later be pursued based on the PCT application. The PCT International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establish a patent application filing date in any of the member states and then seek patents through later-filed national-phase applications. No later than either 30 or 31 months from the earliest priority date of the PCT application, separate national phase patent applications can be pursued in any of the PCT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member states, depending on the deadline set by individual contracting states. National phase entry can generally be accomplished through direct national filing or, in some cases, through a regional patent organization, such as the European Patent Organization. The PCT system delays application filing expenses, allows a limited evaluation of the chances of success for national/regional patent applications and allows for substantial savings in comparison to having filed individual countries rather than a PCT application in the event that no national phase applications are filed.</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file patent applications containing claims for protection of all commercially relevant uses of our proprietary technologies and any products, as well as all new applications and/or uses we discover for existing technologies and products, assuming these are strategically valuable. We may periodically reassess the number and type of patent applications, as well as the pending and issued patent claims to ensure that coverage and value are obtained for our processes, and compositions, given existing patent law and court decisions. Further, claims may be modified during patent prosecution to meet our intellectual property and business needs.</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subject matter, written description, and enablement requirements of the various patent jurisdictions.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targeted therapeutics. We cannot predict whether the patent applications we are currently pursuing will be issued as patents in any particular jurisdiction or whether the claims of any issued patents will provide sufficient proprietary protection from competitors. Any patents that we hold may be challenged, circumvented or invalidated by third parties.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that such agreements will not be breached, or that these agreements will afford us adequate protection of our intellectual property and proprietary rights.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patent positions of biotechnology companies like us are generally uncertain and involve complex legal, scientific and factual questions. Our commercial success will also depend in part on not infringing upon the proprietary rights of third parties. It is uncertain whether the issuance of any third-party patent would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1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When available to expand market exclusivity, our strategy is to obtain, or license additional intellectual property related to current or contemplated development platforms, core elements of technology and/or programs and targeted therapeutics.</w:t>
      </w:r>
    </w:p>
    <w:p>
      <w:pPr>
        <w:spacing w:after="0" w:line="106"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the risks related to our intellectual property, see the section titled “</w:t>
      </w:r>
      <w:r>
        <w:rPr>
          <w:rFonts w:ascii="Times New Roman" w:cs="Times New Roman" w:eastAsia="Times New Roman" w:hAnsi="Times New Roman"/>
          <w:sz w:val="18"/>
          <w:szCs w:val="18"/>
          <w:i w:val="1"/>
          <w:iCs w:val="1"/>
          <w:color w:val="auto"/>
        </w:rPr>
        <w:t>Risk Factors - Risks Related to Our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Should any of our product candidates be approved for commercialization, we intend to develop a plan to commercialize them in the United States and other key markets, through internal infrastructure and/or external partnerships in a manner that will enable us to realize the full commercial value of our programs. Given our stage of development, we have not yet established a commercial organization or distribution capabilities.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facilities for product manufacturing, testing, storage, and distribution. We have contracted and expect to continue to contract with third parties for the manufacture and distribution of our product candidates. Because we rely on contract manufacturers, we employ personnel with extensive technical, manufacturing, analytical and quality experience. Our team has deep knowledge and understanding of the regulations that govern manufacturing, documentation, quality assurance, and quality control of drug supply that are required to support our regulatory filings.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continuing technological advancement and significant competition. While we believe that our programs, technology, development experience and scientific knowledge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enrollment for clinical trials as well as in acquiring technologies complementary to, or necessary for, our programs.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Key competitive factors affecting the success of all of our product candidates that we develop, if approved, are likely to be efficacy, safety, convenience, presentation, price, the level of generic competition, and the availability of reimbursement from government and other third-party payors. Our competitors may also obtain FDA or other regulatory approval for their products more rapidly than we may obtain approval for our products, which could result in our competitors establishing a strong market position before we are able to enter the market.</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Specifically, there are several companies developing or marketing treatments that may be approved for the same indications and/or diseases as our most advanced program, CR-001, including major pharmaceutical companies, and our other programs, CR-002 and CR-003. We do not yet have clinical data for any of our programs and there can be no assurance that our programs will have similar or comparable results, or that our results will support regulatory approval.</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are several approved immuno-oncology biologic therapies for the treatment of solid tumor indications, including, but not limited to, anti-PD-1 therapies Keytruda (pembrolizumab; Merck) and Opdivo (nivolumab; Bristol Myers Squibb), as well as approved anti-PD-L1 therapies Tecentriq® (atezolizumab; Genentech) and Imfinzi® (durvalumab; AstraZeneca). Future biosimilars and other therapies in development may also serve as competition for our product candidates.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we are aware of several anti-PD-(L)1/VEGF bispecific product candidates in clinical development for solid tumor indications, including, but not limited to, ivonescimab (Summit Therapeutics Inc.), pumitamig (co-developed by BioNTech SE and Bristol Myers Squibb), LM-299 (LaNova Medicines Ltd.; in-licensed by Merck), SSGJ-707 (3SBio Inc.; in-licensed by Pfizer), and CTX-10726 (Compass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4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Regarding ADC development, we are aware of other ADC product candidates in clinical development for solid tumor indications, including, but not limited to, PDL1V (Pfizer), HLX-43 (Henlius), sigvotatug vedotin (Pfizer).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 and our products or product candidates.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Biologics Regulation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United States, biological products (or “biologics”) are subject to regulation under the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w:t>
      </w:r>
    </w:p>
    <w:p>
      <w:pPr>
        <w:spacing w:after="0" w:line="133" w:lineRule="exact"/>
        <w:rPr>
          <w:sz w:val="20"/>
          <w:szCs w:val="20"/>
          <w:color w:val="auto"/>
        </w:rPr>
      </w:pPr>
    </w:p>
    <w:p>
      <w:pPr>
        <w:ind w:left="660" w:right="18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certain preclinical laboratory tests and animal studies performed in accordance with the FDA’s current Good Laboratory Practices (“GLP”)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the trial is commenced;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proposed biologic candidate in accordance with current good manufacturing practices (“cGMPs”);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GCP requirements to establish the safety, purity and potency of the proposed biologic product candidate for its intended purpose;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40" w:lineRule="exact"/>
        <w:rPr>
          <w:sz w:val="20"/>
          <w:szCs w:val="20"/>
          <w:color w:val="auto"/>
        </w:rPr>
      </w:pPr>
    </w:p>
    <w:p>
      <w:pPr>
        <w:jc w:val="both"/>
        <w:ind w:left="660" w:right="8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audit of selected clinical investigation sites to assess compliance with GCPs;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BLA to permit commercial marketing of the product for particular indications for use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175"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any clinical trial with a product candidate, in the United States, the sponsor must submit an IND to the FDA. An IND is a request for authorization from the FDA to administer an investigational drug product to humans. The central focus of an IND submission is on the general investigational plan and the protocol or protocols for preclinical studies and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71" w:lineRule="exact"/>
        <w:rPr>
          <w:sz w:val="20"/>
          <w:szCs w:val="20"/>
          <w:color w:val="auto"/>
        </w:rPr>
      </w:pPr>
    </w:p>
    <w:p>
      <w:pPr>
        <w:ind w:left="660" w:right="4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investigational product is initially introduced into healthy human subjects or patients with the target disease or condition. These studies are designed to test the safety, dosage tolerance, absorption,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metabolism and distribution of the investigational product in humans, the side effects associated with increasing doses, and, if possible, to gain early evidence on effectiveness.</w:t>
      </w:r>
    </w:p>
    <w:p>
      <w:pPr>
        <w:spacing w:after="0" w:line="108" w:lineRule="exact"/>
        <w:rPr>
          <w:sz w:val="20"/>
          <w:szCs w:val="20"/>
          <w:color w:val="auto"/>
        </w:rPr>
      </w:pPr>
    </w:p>
    <w:p>
      <w:pPr>
        <w:ind w:left="660" w:right="10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2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substantial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in the approved indication. These so-called Phase 4 studies may be made a condition to approval of the BLA.</w:t>
      </w:r>
    </w:p>
    <w:p>
      <w:pPr>
        <w:spacing w:after="0" w:line="108"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must be able to validate the data from the study through an onsite inspection if the FDA deems such inspection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including results from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review applications within 10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and the facility in which it is manufactured, processed, packed or held meets standards designed to assure the product’s continued safety, purity and potency.</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0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a resubmitted BLA in condition for approval, including among other things, requests for additional information or clarification, or requirements to conduct additional clinical or nonclinical studies. If a FDA issues a Complete Response Letter, the sponsor must resubmit the BLA addressing all of the deficiencies identified in the letter, or withdraw the application. Even if such data and information are submitted, the FDA may decide that the resubmitted BLA does not satisfy the criteria for approval.</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post-market studies and surveillance to further assess and monitor the product’s safety and effectiveness after commercialization, and may limit further marketing of the product based on the results of these post-marketing studies.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drug-device or biologic-device combination product with a primary mode of action attributable to the drug or biologic component generally would be reviewed and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drug or biologic approval processes set forth in the FDCA. In reviewing the New Drug Application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original BLAs under its current PDUFA review goals.</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depending on the design of the applicable clinical trials, a product candidate may be eligible for accelerated approval. Specifically,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or biologic receiving accelerated approval perform adequate and well-controlled confirmatory clinical trials, and may 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requires as a condition of accelerated approval pre-approval of promotional materials, which could adversely impact the timing of the commercial launch of the product.</w:t>
      </w:r>
    </w:p>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candidate qualifies for one or more of these programs, the FDA may later decide that the product no longer meets the conditions for qualification or decide that the time period for FDA review or approval will not be shortened.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 including full BLAs – to market the same drug for the same disease or condition for seven years, except in limited circumstances, such as a showing of clinical superiority to the product with orphan exclusivity or inability to manufacture the product in sufficient quantities. The designation of such biologic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the active ingredient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product sponsors and their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sponsors and any third-party manufacturers they may decide to use. Accordingly, manufacturers must continue to expend time, money and effort in the area of production and quality control to maintain compliance with cGMPs and other aspects of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2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labelling and the issuance of corrective information;</w:t>
      </w:r>
    </w:p>
    <w:p>
      <w:pPr>
        <w:spacing w:after="0" w:line="17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7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BPCIA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(1) the latter of (a) the effective date of an IND and (b) issue date of the patent for which extension is sought, and (2)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a sponsor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HIPAA and similar foreign, federal and state fraud, abuse and transparency laws.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exceptions and regulatory safe harbors protecting some common activities from AKS prosecution, but they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Civil and criminal false claims laws, including the FCA, which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p>
    <w:p>
      <w:pPr>
        <w:spacing w:after="0" w:line="12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Pharmaceutical manufacturers are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there are are also subject to additional similar U.S. state and foreign law equivalents of each of the above federal laws, which, in some cases, differ from each other in significant ways, and may not have the same effect, thus complicating compliance efforts. Violations of any of such laws or any other governmental regulations that apply could result in significant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federal and state consumer protection laws and regulations, govern the collection, use, disclosure, and protection of health-related and other personal information could apply to our operations or the operations of our partners.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example, HIPAA, as amended by the HITECH Act, and their respective implementing regulations imposes data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the HITECH Act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Entities that are found to be in violation of HIPAA may be subject to significant civil, criminal, and administrative fines and penalties and/or additional reporting and oversight obligations if required to enter into a resolution agreement and corrective action plan with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we submit electronic healthcare claims and payment transactions that do not comply with the electronic data transmission standards established under HIPAA and HITECH, payments to us may be delayed or denied.</w:t>
      </w:r>
    </w:p>
    <w:p>
      <w:pPr>
        <w:spacing w:after="0" w:line="13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 addition, state health information privacy laws, such as California’s Confidentiality of Medical Information Act and Washington’s My Health My Data Act, govern the privacy and security of health-related information, specifically, may apply even when HIPAA does not and impose additional requirements.</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 when HIPAA and state health information privacy laws do not apply, according to the FTC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w:t>
      </w:r>
    </w:p>
    <w:p>
      <w:pPr>
        <w:spacing w:after="0" w:line="12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addition, certain state laws, such as the California Consumer Privacy Act of 2018, as amended by the California Privacy Rights Act of 2020 (CCPA), govern the privacy and security of personal information, including health-related information in certain circumstances, some of which are more stringent than HIPAA in various ways. Numerous other states have passed similar laws, but many differ from each other in significant ways and may not have the same effect, thus complicating compliance efforts. 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 unless it is subject to HIPAA - and is included under a new category of personal information, “sensitive personal information,” which is offered greater protection. The numerous other comprehensive privacy laws that have passed or are being considered in other states, as well as at the federal and local levels, also exempt some data processed in the context of clinical trials; but others exempt covered entities and business associates subject to HIPAA altogether, further complicating compliance efforts, and increasing legal risk and compliance costs for us and the third parties upon whom we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Factors payors consider in determining reimbursement are based on whether the product is:</w:t>
      </w:r>
    </w:p>
    <w:p>
      <w:pPr>
        <w:spacing w:after="0" w:line="140"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drug must be approved before it may be lawfully marketed. The requirements governing drug pricing vary widely from country to country.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example, 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we expect there will be additional challenges and amendments to the ACA in the future. For example, the IRA,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w:t>
      </w:r>
    </w:p>
    <w:p>
      <w:pPr>
        <w:spacing w:after="0" w:line="1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automatic aggregate reductions of Medicare payments to providers as part of the federal budget sequestration under the Budget Control Act of 2011. These reductions went into effect in April 2013 and, due to subsequent legislative amendments, will remain in effect until 2032 unless additional action is taken by Congress.</w:t>
      </w:r>
    </w:p>
    <w:p>
      <w:pPr>
        <w:spacing w:after="0" w:line="12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By way of example,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CMS published the negotiated prices for the initial ten drugs, which will first be effective in 2026, and the subsequent 15 drugs, which will first be effective in 2027, although the IRA’s drug price negotiation program provisions are currently subject to ongoing litigation. The IRA also provides a new “inflation rebate” covering Medicare patients that took effect in 2023 and is intended to counter certain price increases in prescriptions drugs. The inflation rebate provision requires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 Continued legislative and enforcement interest exists in the United States with respect to specialty drug pricing practices. We expect regulators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current Presidential administration is also pursuing a two-fold strategy to reduce drug costs in the U.S. While it is unclear whether and how the Trump proposals will be implemented, the Trump policies are likely to have a negative impact on the pharmaceutical industry and on our ability to receive adequate revenues for our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Government Regulation Outside of the United States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regarding safety and efficacy and governing, among other things, research and development, clinical trials,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40" w:lineRule="exact"/>
        <w:rPr>
          <w:sz w:val="20"/>
          <w:szCs w:val="20"/>
          <w:color w:val="auto"/>
        </w:rPr>
      </w:pPr>
    </w:p>
    <w:p>
      <w:pPr>
        <w:jc w:val="both"/>
        <w:ind w:right="600"/>
        <w:spacing w:after="0" w:line="261" w:lineRule="auto"/>
        <w:rPr>
          <w:sz w:val="20"/>
          <w:szCs w:val="20"/>
          <w:color w:val="auto"/>
        </w:rPr>
      </w:pPr>
      <w:r>
        <w:rPr>
          <w:rFonts w:ascii="Times New Roman" w:cs="Times New Roman" w:eastAsia="Times New Roman" w:hAnsi="Times New Roman"/>
          <w:sz w:val="18"/>
          <w:szCs w:val="18"/>
          <w:color w:val="auto"/>
        </w:rPr>
        <w:t>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its products. Because biologically sourced raw materials are subject to unique contamination risks, their use may be restricted in some countries.</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Approval by one regulatory authority does not ensure approval by regulatory authorities in other jurisdictions. Certain countries outside of the United States have a similar process that requires the submission of a clinical trial application much like the IND prior to the commencement of human clinical trials.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European Union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(“EU”), are subject to significant regulatory controls.</w:t>
      </w:r>
    </w:p>
    <w:p>
      <w:pPr>
        <w:spacing w:after="0" w:line="108"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(“CTIS”), which contains a centralized EU portal and database.</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 CTR.</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(“GMP”). Other national and EU-wide regulatory requirements may also apply.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EEA, after completion of all required clinical testing, pharmaceutical products may only be placed on the market after obtaining a marketing authorization (“MA”). To obtain an MA of a medicinal product candidate under EU regulatory systems, an applicant can submit an MA application (“MAA”) through, amongst others, a centralized or decentralized procedure. The process for doing this depends, among other things, on the nature of the medicinal product.</w:t>
      </w:r>
    </w:p>
    <w:p>
      <w:pPr>
        <w:spacing w:after="0" w:line="126" w:lineRule="exact"/>
        <w:rPr>
          <w:sz w:val="20"/>
          <w:szCs w:val="20"/>
          <w:color w:val="auto"/>
        </w:rPr>
      </w:pPr>
    </w:p>
    <w:p>
      <w:pPr>
        <w:ind w:left="660" w:hanging="328"/>
        <w:spacing w:after="0" w:line="254"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(“CHMP”), of the European Medicine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37"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In exceptional cases, the CHMP might perform an accelerated review of a MAA in no more than 150 days (not including clock stops).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Furthermore, MA may also be granted “under exceptional circumstances” when the applicant can show that it is unable to provide comprehensive data on the efficacy and safety under normal conditions of use even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rare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above-described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EU, companies developing a new medicinal product are obligated to study their product in children and must therefore submit a pediatric improvement plan (“PIP”) agreed with the EMA’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medicinal products, a two year extension of the orphan market exclusivity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EU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new MAA must include a risk management plan, or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are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Combination Products in the EU</w:t>
      </w:r>
    </w:p>
    <w:p>
      <w:pPr>
        <w:spacing w:after="0" w:line="173"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Medical Devices Regulation (including the general safety and performance requirements provided in Annex I). MAA must include—where available—the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122"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need to be provided in the MAA for the medicinal product on the characteristics of the medical device(s) that may impact on the quality, safety and/or efficacy of the medicinal product.</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requirements regarding quality documentation for medicinal products when used with a medical device, including single integral products, co-packaged and referenced products, are outlined in the EMA guideline of July 22, 2021, which became applicable as of January 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Pricing and Reimbursement</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in many countries, the proposed pricing for a drug must be approved before it may be lawfully marketed. The requirements governing drug pricing and reimbursement vary widely from country to country. 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cross-border imports from low priced markets exert a commercial pressure on pricing within a country.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7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7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EU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Health Technology Assessment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new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Data Laws</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collection and use of personal health data and other personal data in the EU is governed by the provisions of the European General Data Protection Regulation (EU) 2016/679 (GDPR), which came into force in May 2018, and related data protection laws in individual EU Member States.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the security and confidentiality of the personal data. EU Member States may also impose additional requirements in relation to health, genetic and biometric data through their national legislation.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GDPR imposes specific restrictions on the transfer of personal data to countries outside of the European Economic Area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SCCs, data exporters are also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With regard to the transfer of data from the EU to the United Kingdom (UK), personal data may freely flow from the EEA to the UK since the UK is deemed to have an adequate data protection level. However, the adequacy decisions include a ‘sunset clause’ which entails that the decisions will automatically expire four years after their entry into force, unless renewed.</w:t>
      </w:r>
    </w:p>
    <w:p>
      <w:pPr>
        <w:spacing w:after="0" w:line="138"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for organizations and, in certain cases, their directors and officers, as well as civil liability claims from individuals whose personal data was processed.</w:t>
      </w:r>
    </w:p>
    <w:p>
      <w:pPr>
        <w:spacing w:after="0" w:line="12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w:t>
      </w:r>
    </w:p>
    <w:p>
      <w:pPr>
        <w:spacing w:after="0" w:line="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Furthermore, there are specific requirements relating to processing health data from clinical trials, including public disclosure obligations provided in the EU Clinical Trials Regulation No. 536/2014 (CTR), EMA disclosure initiatives and voluntary commitments by industry. Failure to comply with these obligations could lead to government enforcement actions and significant penalties against us, harm to our reputation, and adversely impact our business and operating results.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following the UK’s withdrawal from the EU and the EEA, companies also have to comply with the UK’s data protection laws (including the UK GDPR (as defined in section 3(10) (as supplemented by section 205(4)) of the Data Protection Act 2018 (the DPA 2018)), the DPA 2018, and related data protection laws in the UK). Separate from the fines that can be imposed by the GDPR, the UK regime has the ability to fine up to the greater of £17.5 million or 4% of global turnover. Companies are subject to specific transfer rules under the UK regime which broadly mirror the GDPR rules. On February 2, 2022, the UK Secretary of State laid before the UK Parliament the international data transfer agreement (IDTA) and the international data transfer addendum to the EC’s standard contractual clauses for international data transfers (Addendum) and a document setting out transitional provisions. The IDTA and Addendum came into force on March 21, 2022 and replaced the old SCCs for the purposes of the UK regime. Regarding transfers from the UK to the EEA, personal data may flow freely since the EEA is deemed to have an adequate data protection level for purposes of the UK regime. With regard to the transfer of personal data from the UK to the United States, the UK government has adopted an adequacy decision for the United States, the UK-US Data Bridge, which came into force on October 12, 2023. The UK-US Data Bridge recognizes the United States as offering an adequate level of data protection where the transfer is to a U.S. company participating in the EU-US Data Privacy Framework and the UK Extension.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Legislation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the EU Member States. Violation of these laws could result in substantial fines and imprisonment.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 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10 years and in some cases both.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in the UK</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Following the end of the Brexit transition period on January 1, 2021 and the implementation of the Windsor Framework on January 1, 2025, the UK is not generally subject to EU laws in respect of medicines. The EU laws that have been transposed into UK law through secondary legislation remain applicable in the UK, however, new legislation such as the (EU) CTR is not applicable in the UK.</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(“MHRA”) is the UK’s standalone medicines and medical devices regulator. As a result of the Northern Ireland Protocol, different rules applied in Northern Ireland than in England, Wales, and Scotland (together, “Great Britain”), which continued to follow the EU regulatory regime for a period of time after Brexit. However, on January 1, 2025 a new arrangement called the “Windsor Framework” came into effect and reintegrated Northern Ireland under the regulatory authority of the MHRA with respect to medicines. The Windsor Framework removes EU licensing processes and EU labeling and serialization requirements in relation to Northern Ireland and introduces a UK-wide licensing process for medicines.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governed by the Medicines for Human Use (Clinical Trials) Regulations 2004, as amended, which is derived from the EU Clinical Trials Directive, as implemented into UK national law through secondary legislation. In April 2025, the UK introduced the Medicines for Human Use (Clinical Trials) (Amendment) Regulations 2025. These changes, which will take full effect from April 2026, aim to create a streamlined, risk-proportionate system that accelerates approvals while maintaining robust safety standards.</w:t>
      </w:r>
    </w:p>
    <w:p>
      <w:pPr>
        <w:spacing w:after="0" w:line="12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Marketing authorizations in the UK are governed by the Human Medicines Regulations (SI 2012/1916), as amended. In order to use the centralized procedure to obtain a marketing authorization that will be valid throughout the EEA, companies must be established in the EEA. Therefore, after Brexit, companies established in the UK can no longer use the EU centralized procedure and instead an EEA entity must hold any centralized marketing authorizations. In order to obtain a UK marketing authorization to commercialize products in the UK, an applicant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(subject to clock-stops) and a rolling review procedure. In addition, since January 1, 2024, the MHRA may rely on the International Recognition Procedure (“IRP”) when reviewing certain types of MAAs. Pursuant to the IRP, the MHRA will take into account the expertise and decision-making of trusted regulatory partners (e.g. the medicines regulatory authorities in Australia, Canada, Switzerland, Singapore, Japan, the U.S.A. and the EMA in the EU). The MHRA will conduct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targeted assessment of IRP applications but retain the authority to reject applications if the evidence provided is considered insufficiently robust.</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UK, the initial duration of a marketing authorization is five years and following renewal will be valid for an unlimited period unless the MHRA decides on justified grounds relating to pharmacovigilance to proceed with only one additional five-year renewal. Any authorization which is not followed by the actual placing of the medicine on the market in the UK within three years shall cease to be in force.</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is no pre-marketing authorization orphan designation in the UK. Instead, the MHRA reviews applications for orphan designation in parallel to the corresponding MAA. The criteria are essentially the same as in the EU,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Medicinal Products in Australia</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Australian Therapeutic Goods Administration (“TGA”) and the National Health and Medical Research Council (“NHMRC”) set the GCP requirements for clinical research in Australia.</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Compliance with the regulations, standards and codes set by the TGA and NHMRC is mandatory. Under the Therapeutic Goods Act 1989 (Cth) and the Therapeutic Goods Regulations 1990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although reporting timeframes may differ to other jurisdictions.</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CTN Scheme broadly involves:</w:t>
      </w:r>
    </w:p>
    <w:p>
      <w:pPr>
        <w:spacing w:after="0" w:line="171"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an HREC, of all material relating to the proposed clinical trial, including the trial protocol;</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HREC reviews the scientific validity of the trial design, the balance of risk versus harm of the therapeutic good, the ethical acceptability of the trial process, and approves the trial protocol. The HREC is also responsible for monitoring the conduct of the trial;</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or organization at which the trial will be conducted (the “Approving Authority”) giving final approval for the conduct of the trial at the site, in terms no less restrictive to those advised by the HREC; and</w:t>
      </w:r>
    </w:p>
    <w:p>
      <w:pPr>
        <w:spacing w:after="0" w:line="107"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investigator submitting a ‘Notification of Intent to Conduct a Clinical Trial’ form (“CTN Form”) to the TGA. The CTN Form must be signed by the sponsor, the principal investigator, the chairman of the HREC and a person responsible from the Approving Authority. The TGA does not review any data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40"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clinical trial however CTN trials cannot commence until the trial has been notified to the TGA. It is the responsibility of the sponsor to ensure that all relevant approvals are in place before supplying the “unapproved” therapeutic goods in clinical trials in Australia.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CTA Scheme:</w:t>
      </w:r>
    </w:p>
    <w:p>
      <w:pPr>
        <w:spacing w:after="0" w:line="171"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sponsor submits an application to conduct a clinical trial to the TGA for evaluation and comment, which includes payment of relevant fees;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TGA will undertake a preliminary assessment to ensure that there is sufficient data to begin evaluation. If critical data is missing, the TGA may request further information;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sponsor must forward any comments made by the TGA delegate to the HREC(s) at the sites where the trial will be conducted;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HREC is responsible for considering the scientific and ethical issues of the proposed trial protocol.</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sponsor cannot commence a trial under the CTA Scheme until written advice has been received from the TGA regarding the application and approval for the conduct of the trial has been obtained from an ethics committee and the institution at which the trial will be conducted.</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Once a sponsor decides to register a therapeutic good/pharmaceutical product in Australia, in order to obtain registration of the product on the ARTG, it is required that (amongst others):</w:t>
      </w:r>
    </w:p>
    <w:p>
      <w:pPr>
        <w:spacing w:after="0" w:line="108" w:lineRule="exact"/>
        <w:rPr>
          <w:sz w:val="20"/>
          <w:szCs w:val="20"/>
          <w:color w:val="auto"/>
        </w:rPr>
      </w:pPr>
    </w:p>
    <w:p>
      <w:pPr>
        <w:ind w:left="660" w:right="2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submits appropriate documentation, including the outcomes of clinical trials and studies, to allow the TGA to assess the quality, safety and efficacy of the therapeutic product/ pharmaceutical product; and</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submits evidence which demonstrates that the manufacture of the therapeutic product/ pharmaceutical product complies with the applicable GMP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TGA has the ultimate discretion to decide whether to include the therapeutic product/ pharmaceutical product in the ARTG.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Products in New Zealand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in New Zealand are regulated under the Medicines Act 1981 (“Medicines Act”) and Medicines Regulations 1984.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Requirements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New Zealand Medicines and Medical Devices Safety Authority (“Medsafe”) is the regulatory authority that administers the application and approval process for medicines and clinical trials in New Zealand (under delegation from the Director-General of Health). Approval from Medsafe is required in the following two circumstances:</w:t>
      </w:r>
    </w:p>
    <w:p>
      <w:pPr>
        <w:spacing w:after="0" w:line="122" w:lineRule="exact"/>
        <w:rPr>
          <w:sz w:val="20"/>
          <w:szCs w:val="20"/>
          <w:color w:val="auto"/>
        </w:rPr>
      </w:pPr>
    </w:p>
    <w:p>
      <w:pPr>
        <w:ind w:left="660" w:right="14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 medicine can be distributed in New Zealand - see “Approval for Distribution” below; however, there is an exemption from this approval requirement for medicines that are imported or manufactured for the sole purpose of use in a clinical trial (including pharmacokinetic, bioequivalence and first-in-human studies); and</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clinical trials involving unapproved medicines carried out in New Zealand; however, if a medicine is already approved by Medsafe for distribution in New Zealand, then there is no separate requirement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40"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obtain approval for clinical trials with that medicine (including if the medicine is being tested for a use not provided for under its existing authorization).</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Medsafe also expects all clinical trials to be carried out in accordance with internationally accepted standards for good clinical practice as published by the EMA in its Guideline for Good Clinical Practice, to the extent that these standards are compatible with the Medicines Act.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 Process</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clinical trial approval process requires submission of an online application to Medsafe. The application must include information about the nature of the medicine, the purpose of the trial, details of the investigators conducting the trial, written consent to nomination from each investigator, copies of information supplied to the investigators, a protocol of the trial, and details of the sites and facilities used. The application must be made by the actual or intended importer, manufacturer, packer, or supplier of the medicine in New Zealand. Once approved, the applicant becomes the “sponsor” and assumes responsibility and legal liability for the trial in New Zealand.</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Once an application is received, Medsafe provides it to the Health Research Council of New Zealand (“HRC”). One of two HRC standing committees will consider the application and make a recommendation to Medsafe as to whether the clinical trial should be approved (with or without conditions) or declined. The Standing Committee on Therapeutic Trials considers pharmaceutical medicine trial applications, while the Gene Technology Advisory Committee considers applications for trials involving gene and other biotechnology therapies. Both standing committees undertake a similar scientific assessment process, and consider factors such as trial protocol and design, data collection, and general compliance with the Guideline for Good Practice before making a recommendation to Medsafe.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Ethical Requirements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Medsafe expects all clinical trials to be approved by the Health and Disability Ethics Committee (“HDEC”), regardless of whether Medicines Act approval is required. HDEC reviews and approves applications and provides ongoing oversight of clinical trials to ensure alignment with good ethical practice. HDEC approval can be sought before, during, or after Medicines Act approval is sought from Medsafe.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w:t>
      </w:r>
    </w:p>
    <w:p>
      <w:pPr>
        <w:spacing w:after="0" w:line="1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clinical trial’s sponsor may register a trial with the Australian New Zealand Clinical Trials Registry (“ANZCTR”), an online public registry of clinical trials undertaken in New Zealand, Australia, and elsewhere. While not mandatory, the ANZCTR is a recognized part of the World Health Organisation Registry Network and registration is encouraged by the World Health Organisation.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for Distribution</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 sponsor decides to distribute the new medicine product in New Zealand after the clinical trial, the sponsor must apply for distribution approval. This is separate to the approval process for clinical trials and involves submitting an application to Medsafe for consideration. Medsafe assesses the safety, efficacy, quality and risk profile of the medicine, and makes a recommendation to the Minister of Health as to whether the medicine should be approved for distribution (in practice, the Minister follows Medsafe’s recommendation).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we had 44 full-time employees. We also engage temporary employees and consultants to augment our existing workforce. None of our employees are represented by a labor union or covered under a collective bargaining agreement. We consider our relationship with our employees to be good.</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recognize that attracting, motivating, and retaining talent at all levels is vital to continuing our success. We invest in our employees through high-quality benefits, professional development opportunities, and various health and wellness initiatives and offers competitive compensation packages (base salary and incentive plans), ensuring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fairness in internal compensation practices. The principal purposes of our incentive plans (bonus and equity) are to align with the long-term interests of its stakeholders and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and Facilities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sublease our office space, which consists of approximately 25,000 square feet located in Waltham, Massachusetts. Our sublease expires on March 1, 2029. We believe our current office is sufficient to meet our needs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00"/>
          </w:cols>
          <w:pgMar w:left="320" w:top="1440" w:right="379" w:bottom="1440" w:gutter="0" w:footer="0" w:header="0"/>
        </w:sectPr>
      </w:pPr>
    </w:p>
    <w:bookmarkStart w:id="140" w:name="page141"/>
    <w:bookmarkEnd w:id="14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and discussion sets forth the names, ages as of December 31, 2025, positions and biographical and other information of the individuals who currently serve as directors and executive officers of the Company.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724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1"/>
        </w:trPr>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19"/>
                <w:szCs w:val="19"/>
                <w:color w:val="auto"/>
              </w:rPr>
            </w:pP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Joshua Brumm</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McNeill, M.D.</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 and President</w:t>
            </w: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Ellie Im, M.D.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 Pinkas, Ph.D.</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Scalzo</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Doughty</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Lynch</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Treasurer, Senior Vice President of Finance and Chief Accounting Officer</w:t>
            </w: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Bispham</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40" w:type="dxa"/>
            <w:vAlign w:val="bottom"/>
          </w:tcPr>
          <w:p>
            <w:pPr>
              <w:spacing w:after="0"/>
              <w:rPr>
                <w:sz w:val="19"/>
                <w:szCs w:val="19"/>
                <w:color w:val="auto"/>
              </w:rPr>
            </w:pPr>
          </w:p>
        </w:tc>
      </w:tr>
      <w:tr>
        <w:trPr>
          <w:trHeight w:val="230"/>
        </w:trPr>
        <w:tc>
          <w:tcPr>
            <w:tcW w:w="3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Alexandra Balcom</w:t>
            </w:r>
            <w:r>
              <w:rPr>
                <w:rFonts w:ascii="Times New Roman" w:cs="Times New Roman" w:eastAsia="Times New Roman" w:hAnsi="Times New Roman"/>
                <w:sz w:val="23"/>
                <w:szCs w:val="23"/>
                <w:color w:val="auto"/>
                <w:vertAlign w:val="superscript"/>
              </w:rPr>
              <w:t>(1)(2)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Peter Harwin</w:t>
            </w:r>
            <w:r>
              <w:rPr>
                <w:rFonts w:ascii="Times New Roman" w:cs="Times New Roman" w:eastAsia="Times New Roman" w:hAnsi="Times New Roman"/>
                <w:sz w:val="23"/>
                <w:szCs w:val="23"/>
                <w:color w:val="auto"/>
                <w:vertAlign w:val="superscript"/>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Chair and Director</w:t>
            </w:r>
          </w:p>
        </w:tc>
      </w:tr>
      <w:tr>
        <w:trPr>
          <w:trHeight w:val="230"/>
        </w:trPr>
        <w:tc>
          <w:tcPr>
            <w:tcW w:w="3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Lubner</w:t>
            </w:r>
            <w:r>
              <w:rPr>
                <w:rFonts w:ascii="Times New Roman" w:cs="Times New Roman" w:eastAsia="Times New Roman" w:hAnsi="Times New Roman"/>
                <w:sz w:val="23"/>
                <w:szCs w:val="23"/>
                <w:color w:val="auto"/>
                <w:vertAlign w:val="superscript"/>
              </w:rPr>
              <w:t>(1)(2)(3)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Susan Moran, M.D., MSCE</w:t>
            </w:r>
            <w:r>
              <w:rPr>
                <w:rFonts w:ascii="Times New Roman" w:cs="Times New Roman" w:eastAsia="Times New Roman" w:hAnsi="Times New Roman"/>
                <w:sz w:val="23"/>
                <w:szCs w:val="23"/>
                <w:color w:val="auto"/>
                <w:vertAlign w:val="superscript"/>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Jonathan Violin, Ph.D.</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Governance Committee (the “Governance Committee”).</w:t>
      </w:r>
    </w:p>
    <w:p>
      <w:pPr>
        <w:spacing w:after="0" w:line="1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the Board of the Directors (the “Board”) and holds office until their successor is duly appointed and qualified or until their earlier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Joshua Brumm</w:t>
      </w:r>
      <w:r>
        <w:rPr>
          <w:rFonts w:ascii="Times New Roman" w:cs="Times New Roman" w:eastAsia="Times New Roman" w:hAnsi="Times New Roman"/>
          <w:sz w:val="18"/>
          <w:szCs w:val="18"/>
          <w:color w:val="auto"/>
        </w:rPr>
        <w:t>. Mr. Brumm has served as our Chief Executive Officer and as a member of our Board since March 2025. Prior to joining us, Mr. Brumm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General Partner at Forbion, a leading life sciences investment firm, from June 2024 to March 2025. From October 2019 to March 2024, Mr. Brumm served as Chief Executive Officer and President and as a director of Dyne Therapeutics, Inc. (Nasdaq: DYN), a biotechnology company. Prior to joining Dyne Therapeutics, Mr. Brumm served as Chief Operating Officer and Chief Financial Officer at Kaleido Biosciences, Inc. (formerly, Nasdaq: KLDO), a healthcare company, from April 2018 to October 2019. Prior to joining Kaleido, Mr. Brumm served as Chief Operating Officer and Chief Financial Officer at Versartis, Inc., a biopharmaceutical company, from November 2013 until December 2017. Mr. Brumm served as Executive Vice President of Finance and Principal Financial Officer at Pharmacyclics, LLC, a biopharmaceutical company, from August 2012 to August 2013. Prior to joining Pharmacyclics, Mr. Brumm served in various roles at ZELTIQ Aesthetics, Inc., a medical technology company, from December 2009 to August 2012, including as Senior Vice President and Chief Financial Officer, Vice President of Corporate Development and Investor Relations, Senior Managing Director of International Sales and Director of Corporate Development and Strategy. Prior to his service at ZELTIQ Aesthetics, Mr. Brumm served as Director of Finance at Proteolix, Inc. and held investment banking roles at Citigroup Global Markets, Inc. and Morgan Stanley. Mr. Brumm currently serves on the board of AIRNA, Corporation, Inc., as Chairman of the Board of Amphista Therapeutics Limited, and as a venture partner at Forbion. Mr. Brumm holds a B.A. in business administration from the University of Notre Dame.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that Mr. Brumm is qualified to serve as a member of our Board because of his extensive experience as a senior management executive of healthcare and biotechnology companies, as well as his finance background and experience as an investor in life sciences companies.</w:t>
      </w:r>
    </w:p>
    <w:p>
      <w:pPr>
        <w:spacing w:after="0" w:line="1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Jonathan McNeill, M.D. </w:t>
      </w:r>
      <w:r>
        <w:rPr>
          <w:rFonts w:ascii="Times New Roman" w:cs="Times New Roman" w:eastAsia="Times New Roman" w:hAnsi="Times New Roman"/>
          <w:sz w:val="18"/>
          <w:szCs w:val="18"/>
          <w:color w:val="auto"/>
        </w:rPr>
        <w:t>Dr. McNeill has served as our Chief Operating Officer and President since March 2025. Prior to joining us, Dr. McNeill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at Forbion, a leading life sciences investment firm, from January 2025 to March 2025. From February 2019 to September 2024, Dr. McNeill held roles of increasing responsibility at Dyne Therapeutics, Inc. (Nasdaq: DYN), a biotechnology company, where he served as Chief Business Officer from July 2023 to September 2024, Senior Vice President, Business Development from July 2021 to July 2023, and as Vice President, Business Development from February 2019 to June 2021. Prior to joining Dyne Therapeutics, Dr. McNeill served as Associate Director, Business Development at Editas Medicine, Inc. (Nasdaq: EDIT), a biotechnology company, from August 2015 to January 2019. Prior to joining Editas, Dr. McNeill served as a Consultant at Boston Consulting Group from March 2014 to August 2015. Dr. McNeill earned his B.A. in public policy and economics from the University of North Carolina and his M.D. from the University of Pennsylvania.</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Ellie Im, M.D</w:t>
      </w:r>
      <w:r>
        <w:rPr>
          <w:rFonts w:ascii="Times New Roman" w:cs="Times New Roman" w:eastAsia="Times New Roman" w:hAnsi="Times New Roman"/>
          <w:sz w:val="18"/>
          <w:szCs w:val="18"/>
          <w:color w:val="auto"/>
        </w:rPr>
        <w:t>. Dr. Im has served as our Chief Medical Officer since April 2025. Prior to joining us, Dr. Im served as Senior Vice President of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Oncology, at Centessa Pharmaceuticals PLC (Nasdaq: CNTA), a clinical-stage pharmaceutical company, from September 2023 to March 2025. Prior to joining Centessa, Dr. Im held roles of increasing responsibility at Mersana Therapeutics, Inc. (Nasdaq: MRSN), a clinical-stage biopharmaceutical company, where she served as Senior Vice President, Clinical Development and Operations from January 2023 to September 2023, Senior Vice President, Head of Clinical Development from March 2022 to September 2023, and as Vice President, Clinical Development from May 2021 to March 2022. Prior to Mersana Therapeutics, Dr. Im was Clinical Development Lead and Senior Medical Director at Tesaro Inc. (formerly, Nasdaq: TSRO), an oncology-focused company that was later acquired by GlaxoSmithKline plc, where she led the clinical development for Jemperli. She also served as Medical Director for Merck &amp; Co, Oncology Clinical Development, and led clinical development for Keytruda. Dr. Im is a medical oncologist and holds an MD degree from Catholic University College of Medicine, South Korea. She is board certified in internal medicine and medical oncology and a member of the American Society of Clinical Oncology and Hematology.</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Jan Pinkas, Ph.D</w:t>
      </w:r>
      <w:r>
        <w:rPr>
          <w:rFonts w:ascii="Times New Roman" w:cs="Times New Roman" w:eastAsia="Times New Roman" w:hAnsi="Times New Roman"/>
          <w:sz w:val="18"/>
          <w:szCs w:val="18"/>
          <w:color w:val="auto"/>
        </w:rPr>
        <w:t>. Dr. Pinkas has served as our Chief Scientific Officer since July 2025. Prior to joining us, Dr. Pinkas was chief scientific officer at Pyxis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where he established the preclinical research and development function to support ADC and antibody programs through Investigational New Drug (IND)-enabling studies and led the translational medicine group. Previously, at Magenta Therapeutics, Dr. Pinkas served as senior vice president, translational sciences, establishing a new department to support programs as the company advanced from preclinical research to late-stage clinical development. Prior to Magenta, Dr. Pinkas worked at ImmunoGen for more than 10 years in positions of increasing responsibility, most recently as vice president, translational research and development. In that role, he led groups supporting molecules from early-stage research to IND, and also advancing to pivotal clinical development, including contributing to ELAHERE®, an ADC approved for the treatment of platinum-resistant ovarian cancer, as well as SARCLISA®, an anti-CD38 therapy approved in combination with standard of care for multiple myeloma. Earlier in his career, he held scientist roles focused on oncology research at Amgen and Genzyme Corporation. Dr. Pinkas earned his Ph.D. in molecular and cellular biology at the University of Massachusetts, Amherst and received his B.A. in biology from Johns Hopkins University.</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Richard Scalzo</w:t>
      </w:r>
      <w:r>
        <w:rPr>
          <w:rFonts w:ascii="Times New Roman" w:cs="Times New Roman" w:eastAsia="Times New Roman" w:hAnsi="Times New Roman"/>
          <w:sz w:val="18"/>
          <w:szCs w:val="18"/>
          <w:color w:val="auto"/>
        </w:rPr>
        <w:t>. Mr. Scalzo has served as our Chief Financial Officer since April 2025. Prior to joining us, Mr. Scalzo served as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 of Finance and Administration at Dyne Therapeutics, Inc. (Nasdaq: DYN), a biotechnology company, from July 2022 to March 2025. Mr. Scalzo also previously served as Vice President, Accounting and Administration and Treasurer from January 2020 to June 2022 and Corporate Controller from December 2019 to July 2020 at Dyne Therapeutics. Prior to Dyne Therapeutics, Mr. Scalzo served as Corporate Controller at several biotechnology companies, including Kaleido Biosciences, Inc. from August 2018 to November 2019, X4 Pharmaceuticals, Inc. (Nasdaq: XFOR) from September 2016 to August 2018 and Ocata Therapeutics, Inc. (formerly, Nasdaq: OCAT; acquired by Astellas Pharma Inc. in February 2016) from August 2014 to September 2016. Mr. Scalzo started his career with PricewaterhouseCoopers LLP in its health industries practice. Mr. Scalzo is a certified public accountant in the Commonwealth of Massachusetts and holds a B.S. in accounting from Boston College and an M.B.A. from the University of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Christopher Doughty</w:t>
      </w:r>
      <w:r>
        <w:rPr>
          <w:rFonts w:ascii="Times New Roman" w:cs="Times New Roman" w:eastAsia="Times New Roman" w:hAnsi="Times New Roman"/>
          <w:sz w:val="18"/>
          <w:szCs w:val="18"/>
          <w:color w:val="auto"/>
        </w:rPr>
        <w:t>. Mr. Doughty has served as our Chief Business Officer since October 2024. From February 2021 to October 2024, Mr. Doughty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Business Officer at Prometheus Biosciences, Inc., a Nasdaq-listed biotechnology company that was acquired by Merck &amp; Co., Inc. in June 2023, where he was responsible for business development, corporate development, strategic planning, and competitive intelligence related activities. Prior to joining Prometheus, Mr. Doughty served as Vice President Strategy and Business Development at Strata Oncology, Inc., a biotechnology company, from May 2017 to February 2021, where he was responsible for leading business development. Prior to joining Strata, Mr. Doughty served as an Engagement Manager at McKinsey &amp; Company. Mr. Doughty received an M.B.A. from the University of Michigan Ross School of Business and a B.S. in Industrial and Operations Engineering from the University of Michigan.</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Ryan Lynch</w:t>
      </w:r>
      <w:r>
        <w:rPr>
          <w:rFonts w:ascii="Times New Roman" w:cs="Times New Roman" w:eastAsia="Times New Roman" w:hAnsi="Times New Roman"/>
          <w:sz w:val="18"/>
          <w:szCs w:val="18"/>
          <w:color w:val="auto"/>
        </w:rPr>
        <w:t>. Mr. Lynch has served as our Treasurer, Senior Vice President of Finance and Chief Accounting Officer since December 2024.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Mr. Lynch served as VP Finance at Kelonia Therapeutics, Inc., a biotechnology company, from November 2021 to December 2024, where he was responsible for overseeing the company’s finance and accounting functions. Prior to Kelonia, from December 2019 to November 2021, Mr. Lynch served as Senior Director, Corporate Controller at Morphic Therapeutic, Inc., a biopharmaceutical company and wholly owned subsidiary of Morphic Holding, Inc, a Nasdaq-listed biopharmaceutical company that was acquired by Eli Lilly and Company in 2024, where he was responsible for overseeing the company’s finance and accounting functions. Prior to joining Morphic, Mr. Lynch held positions of increasing responsibility at Concert Pharmaceuticals, Inc. from May 2014 to November 2019, most recently serving as Senior Director, Corporate Controller. Mr. Lynch received an M.S. in Accounting from the University of Massachusetts Amherst and a B.B.A. in Accounting from the University of Massachusetts Amherst. Mr. Lynch is a licensed certified public accountant in Massachusetts.</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color w:val="auto"/>
        </w:rPr>
        <w:t>Barbara Bispham</w:t>
      </w:r>
      <w:r>
        <w:rPr>
          <w:rFonts w:ascii="Times New Roman" w:cs="Times New Roman" w:eastAsia="Times New Roman" w:hAnsi="Times New Roman"/>
          <w:sz w:val="18"/>
          <w:szCs w:val="18"/>
          <w:color w:val="auto"/>
        </w:rPr>
        <w:t>. Ms. Bispham has served as our General Counsel and Corporate Secretary since January 2025. Prior to joining us, Ms. Bispham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Senior Vice President, General Counsel and Corporate Secretary at Sail Biomedicines, a biotechnology company and subsidiary of Flagship Pioneering, Inc., from October 2023 to January 2025, where she was responsible for overseeing the company’s legal and intellectual property operations. Prior to Sail, Ms. Bispham served as Senior Vice President, General Counsel and Corporate Secretary at Senda Biosciences, Inc., a biotechnology company and subsidiary of Flagship Pioneering, Inc., from October 2022 until it merged with LARONDE, Inc., also a subsidiary of Flagship Pioneering, Inc., to form Sail Biomedicines in October 2023, where she was responsible for overseeing the company’s legal and intellectual property operations. Prior to joining Senda, Ms. Bispham held positions of increasing responsibility at BridgeBio Pharma, Inc. (Nasdaq: BBIO), a biopharmaceutical company, from August 2020 to September 2022, most recently serving as Vice President, Head of Legal, where she was responsible for overseeing the company’s legal, transactional, employment, governance, litigation, privacy, compliance, and intellectual property operations. While at BridgeBio Pharma, Ms. Bispham supported key activities in connection with the commercialization of the company’s first two FDA-approved drugs, NULIBRY® (fosdenopterin) and TRUSELTIQ® (infigratinib). Prior to joining BridgeBio, Ms. Bispham was an associate at Goodwin Procter LLP, where she was a member of the firm’s Tech &amp; Life Sciences Group, and, before that, a corporate associate at Cooley LLP, where she was a member of the public companies and emerging companies practice groups. Ms. Bispham received a B.A. from the University of Pennsylvania and a J.D. from Cornell Law School.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Alexandra Balcom</w:t>
      </w:r>
      <w:r>
        <w:rPr>
          <w:rFonts w:ascii="Times New Roman" w:cs="Times New Roman" w:eastAsia="Times New Roman" w:hAnsi="Times New Roman"/>
          <w:sz w:val="18"/>
          <w:szCs w:val="18"/>
          <w:color w:val="auto"/>
        </w:rPr>
        <w:t>. Ms. Balcom has served as a member of our Board since November 2024. Ms. Balcom has served as Chief Financial Officer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Nuvalent, Inc. (Nasdaq: NUVL), a biotechnology company, since January 2021. From April 2017 to March 2021, Ms. Balcom held positions of increasing responsibility at SQZ Biotechnologies Company, formerly a NYSE-listed biotechnology company, most recently serving as Vice President of Finance from January 2019 to March 2021. Prior to joining SQZ Biotechnologies, Ms. Balcom held positions of increasing responsibility at Agios Pharmaceuticals Inc. (Nasdaq: AGIO), a biopharmaceutical company, from January 2011 to April 2017, most recently serving as Corporate Controller. Ms. Balcom received a B.B.A. in Finance from the University of Massachusetts, Amherst, and a M.B.A. from Boston College. Ms. Balcom is a Certified Public Accountant in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believe Ms. Balcom is qualified to serve as a member of our Board because of her experience as an executive officer of life sciences companies, her expertise in finance and her background in business development and operations.</w:t>
      </w:r>
    </w:p>
    <w:p>
      <w:pPr>
        <w:spacing w:after="0" w:line="10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b w:val="1"/>
          <w:bCs w:val="1"/>
          <w:color w:val="auto"/>
        </w:rPr>
        <w:t>Peter Harwin</w:t>
      </w:r>
      <w:r>
        <w:rPr>
          <w:rFonts w:ascii="Times New Roman" w:cs="Times New Roman" w:eastAsia="Times New Roman" w:hAnsi="Times New Roman"/>
          <w:sz w:val="18"/>
          <w:szCs w:val="18"/>
          <w:color w:val="auto"/>
        </w:rPr>
        <w:t>. Mr. Harwin has served as a member of our Board since September 2024. Mr. Harwin is a Managing Member at Fairmount, a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firm he co-founded in April 2016. Prior to Fairmount, Mr. Harwin served as a member of the investment team at Boxer Capital, LLC, an investment fund that was part of the Tavistock Group, based in San Diego. Mr. Harwin also serves as chairman of the board of directors of Cogent Biosciences, Inc. (Nasdaq: COGT) and as a member of the board of directors of Apogee Therapeutics, Inc. (Nasdaq: APGE), Galecto, Inc. (Nasdaq: GLTO), Oruka Therapeutics, Inc. (Nasdaq: ORKA), Spyre Therapeutics, Inc. (Nasdaq: SYRE) and Paragon Therapeutics, Inc. Mr. Harwin received a B.B.A. from Emory University.</w:t>
      </w:r>
    </w:p>
    <w:p>
      <w:pPr>
        <w:spacing w:after="0" w:line="13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believe Mr. Harwin is qualified to serve as a member of our Board because of his experience advising and serving as a director of biotechnology companies and as a manager of funds specializing in the area of life sciences.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David Lubner</w:t>
      </w:r>
      <w:r>
        <w:rPr>
          <w:rFonts w:ascii="Times New Roman" w:cs="Times New Roman" w:eastAsia="Times New Roman" w:hAnsi="Times New Roman"/>
          <w:sz w:val="18"/>
          <w:szCs w:val="18"/>
          <w:color w:val="auto"/>
        </w:rPr>
        <w:t>. Mr. Lubner has served as a member of our Board since April 2025. Mr. Lubner served as Executive Vice President and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Ra Pharmaceuticals, Inc., a biotechnology company acquired by UCB S.A. in April 2020, from January 2016 until June 2020. Before joining Ra Pharmaceuticals, Mr. Lubner served as Chief Financial Officer of Tetraphase Pharmaceuticals, Inc., a biotechnology company, from its inception in 2006 to 2016, as Chief Financial Officer of PharMetrics Inc., a patient-based pharmacy and medical claims data informatics company, from 1999 until it was acquired by IMS Health in 2005 and as Vice President and Chief Financial Officer of ProScript, Inc. from 1996 to 1999. Mr. Lubner serves as a member of the board of directors of Arcellx Inc. (Nasdaq: ACLX), Cargo Therapeutics, Inc. (Nasdaq: CRGX), Dyne Therapeutics, Inc. (Nasdaq: DYN) and Vor Biopharma, Inc. (Nasdaq: VOR) and several other private companies. Mr. Lubner previously served on the board of directors of Nightstar Therapeutics plc from 2017 until it was acquired by Biogen Inc. in June 2019, Therapeutics Acquisition Corporation (d/b/a as Research Alliance Corp. I), a blank check company focused on the healthcare industry from May 2020 to June 2021, Gemini Therapeutics, Inc. from 2020 to 2022 and Point Biopharma, Inc. from 2021 until it was acquired by Eli Lilly and Company in 2023. He received his B.S. in business administration from Northeastern University and an M.S. in taxation from Bentley University.</w:t>
      </w:r>
    </w:p>
    <w:p>
      <w:pPr>
        <w:spacing w:after="0" w:line="13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believe Mr. Lubner is qualified to serve as a member of our Board because of his financial and leadership experience as a senior executive in the biotechnology industry and his experience as a director of a public biotechnology company, including serving as chair of the audit committee.</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Susan Moran, M.D., MSCE</w:t>
      </w:r>
      <w:r>
        <w:rPr>
          <w:rFonts w:ascii="Times New Roman" w:cs="Times New Roman" w:eastAsia="Times New Roman" w:hAnsi="Times New Roman"/>
          <w:sz w:val="18"/>
          <w:szCs w:val="18"/>
          <w:color w:val="auto"/>
        </w:rPr>
        <w:t>. Dr. Moran has served as a member of our Board since November 2024. From July 2021 to May 2024, Dr. Moran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Medical Officer of RayzeBio, Inc., a Nasdaq-listed radiopharmaceutical therapeutics company that was acquired by the Bristol-Myers Squibb Company in 2024. Prior to joining RayzeBio, Dr. Moran served as Chief Medical Officer at QED Therapeutics, Inc., a biotechnology company and subsidiary of BridgeBio Pharma, Inc. (Nasdaq: BBIO), from March 2018 to June 2021. Prior to joining QED, Dr. Moran held positions of increasing responsibility at Puma Biotechnology, Inc. (Nasdaq: PBYI), a biopharmaceutical company, from 2014 to 2018, most recently serving as Vice President and Head of Clinical Development. Prior to joining Puma, Dr. Moran served as Medical Director at Takeda Oncology from 2011 until 2014 and as Senior Medical Director at Sanofi Genzyme from 2007 until 2011. Dr. Moran is a board-certified internist and previously held faculty appointments at the University of Pennsylvania School of Medicine and Harvard Medical School. Dr. Moran currently serves on the board of directors of Tyra Biosciences, Inc. (Nasdaq: TYRA) and BioAtla, Inc. (Nasdaq: BCAB). Dr. Moran received a B.A. from the University of Virginia, a M.D. from Duke University, and a M.S. in Clinical Epidemiology from the University of Pennsylvania School of Medicine.</w:t>
      </w:r>
    </w:p>
    <w:p>
      <w:pPr>
        <w:spacing w:after="0" w:line="13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believe Dr. Moran is qualified to serve as a member of our Board because of her leadership, scientific, medical and academic experience in the biotechnology industry.</w:t>
      </w:r>
    </w:p>
    <w:p>
      <w:pPr>
        <w:spacing w:after="0" w:line="10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Jonathan Violin, Ph.D</w:t>
      </w:r>
      <w:r>
        <w:rPr>
          <w:rFonts w:ascii="Times New Roman" w:cs="Times New Roman" w:eastAsia="Times New Roman" w:hAnsi="Times New Roman"/>
          <w:sz w:val="18"/>
          <w:szCs w:val="18"/>
          <w:color w:val="auto"/>
        </w:rPr>
        <w:t>. Dr. Violin has served as a member of our Board since October 2024. Dr. Violin has served as the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Korsana Biosciences, Inc. since August 2025. Dr. Violin previously served as Crescent’s Chief Executive Officer and President from October 2024 to March 2025. Dr. Violin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has served as a Venture Partner at Fairmount Funds Management LLC, a healthcare investment firm, since June 2023. Prior to joining Fairmount, Dr. Violin served as President, Chief Executive Officer and member of the board of directors of Viridian Therapeutics, Inc. (Nasdaq: VRDN), a biopharmaceutical company, from January 2021 to February 2023, and he previously served as President and Chief Operating Officer of Viridian from October 2020 until January 2021. He was the Co-Founder of Viridian’s predecessor and led its operations from April 2020 to its acquisition. Dr. Violin has served as a member of the board of directors of Dianthus Therapeutics, Inc. (formerly Magenta Therapeutics, Inc.) (Nasdaq: DNTH) since the completion of its business combination in September 2023 with Dianthus Therapeutics, Inc., a biotechnology company he co-founded in 2019. Dr. Violin also co-founded Quellis Biosciences, Inc., a biotechnology company (acquired by Astria Therapeutics, Inc. (Nasdaq: ATXS), formerly Catabasis Pharmaceuticals, Inc.), in 2018 and, since January 2021, has served on the Astria Therapeutics board of directors. Prior to that, he co-founded and helped lead Trevena Inc., a biotechnology company, in various roles from 2008 until November 2018, including most recently as Senior Vice President, Scientific Affairs and Investor Relations Officer. Dr. Violin received a Ph.D. from the Department of Pharmacology in the Biomedical Sciences Program at the University of California, San Diego, a M.B.A. with a concentration in Health Sector Management from the Fuqua School of Business at Duke University, and a B.S. in Chemical Pharmacology from Duke University.</w:t>
      </w:r>
    </w:p>
    <w:p>
      <w:pPr>
        <w:spacing w:after="0" w:line="13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Dr. Violin is qualified to serve as a member of our Board because of his extensive experience and innovations in the field of biotechnology and his academic expertise and accomplishments.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w:t>
      </w:r>
    </w:p>
    <w:p>
      <w:pPr>
        <w:spacing w:after="0" w:line="17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Our articles of incorporation establish a classified Board consisting of Class I directors holding terms expiring at the 2028 annual meeting of shareholders, Class II directors holding terms expiring at the 2026 annual meeting of shareholders and Class III directors holding terms expiring at the 2027 annual meeting of shareholders. Joshua Brumm and Peter Harwin are Class I directors, whose terms will expire at the Company’s 2028 annual meeting of shareholders. Susan Moran and Jonathan Violin are Class II directors, whose terms will expire at the Company’s 2026 annual meeting of shareholders. Alexandra Balcom and David Lubner are Class III directors, whose terms will expire at the Company’s 2027 annual meeting of shareholders.</w:t>
      </w:r>
    </w:p>
    <w:p>
      <w:pPr>
        <w:spacing w:after="0" w:line="11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Pursuant to our Certificate of Designation of Preferences, Rights and Limitations of the Series A Non-Voting Convertible Preferred Shares (the “Series A Certificate of Designation”), at all times when at least 30% of the originally issued Series A Preferred Shares remains issued and outstanding: (i) the holders of our Series A Preferred Shares, exclusively and voting together as a separate class on an as-converted to ordinary shares basis, are entitled to elect two preferred directors (the “Preferred Directors”); and (ii) the holders of our ordinary shares and of any other class or series of voting shares (including our Series A Preferred Shares), exclusively and voting together as a single class on an as-converted to ordinary shares basis, are entitled to elect the balance of the total number of directors of our board. Each Preferred Director is entitled to three votes on each matter presented to our board of directors.</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Peter Harwin and Jonathan Violin were elected as the two Preferred Directors by the holders of our Series A Preferred Shares. These two directors, in the aggregate, have six votes on each matter presented to the board of directors, representing 60% of the total votes of the board. As a result, these two Preferred Directors are able to control or significantly influence all matters submitted to our board of directors for approval, including business plans and policies and the appointment and removal of our officers. The holders of our Series A Preferred Shares thereby have influence with respect to the composition of our board of directors and, to the extent they influence the actions of the Preferred Directors, if at all, actions of our board of directors. An affiliate of Fairmount is the sole holder of our Series A Preferred Shares. Mr. Harwin is a Managing Member at Fairmount, and Dr. Violin is a Venture Partner at Fairmount. See “Risk Factors—Risks Related to Owning Our Ordinary Shares—Preferred directors elected by the holders of our Series A Preferred Shares have the ability to control or significantly influence all matters submitted to our board of directors for approval.”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Nasdaq listing rules have objective tests and a subjective test for determining who is an “independent director.” The subjective test states that an independent director must be a person who lacks a relationship that, in the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has determined that each of the directors other than Joshua Brumm, the Company’s current Chief Executive Officer, and Jonathan Violin, due to his receipt of compensation for the provision of consulting services, including Alexandra Balcom, Peter Harwin, David Lubner and Susan Moran, each of whom is a current member of the Board, qualify as “independent directors” as defined under Nasdaq listing rules. In making these determinations, the Board considered the current and prior relationships that each director has with GlycoMimetics and Pre-Merger Crescent and all other facts and circumstances that the Board deemed relevant in determining the independence of each director, including the interests of each director in the Merger, any relevant related party transactions and the beneficial ownership of securities of GlycoMimetics, Pre-Merger Crescent or the current Company by each director.</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Board has also determined that each member of the Audit Committee of the Board (the “Audit Committee”) and Compensation Committee of the Board (the “Compensation Committee”) is independent and satisfies the relevant independence requirements for such committees under the Nasdaq listing rules and the Exchange Act and that each member of the Compensation Committee is a “non-employee director” as defined in Rule 16b-3 promulgated under the Exchange Act.</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Nasdaq Rule 5605(e)(1)(B) typically requires a nominations committee comprised solely of independent directors. However, Nasdaq Rule 5605(e)(3) provides that, if the nominations committee is comprised of at least three members, one director, who is not an independent director and is not currently an executive officer or an employee or a family member of an executive officer of the company, may be appointed to the nominations committee, under exceptional and limited circumstances, if the Board determines that such individual’s membership on the committee is required by the best interests of the company and its shareholders.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Board has determined that, due to exceptional and limited circumstances, Dr. Violin’s membership on the Nominating and Corporate Governance Committee of the Board (the “Nominating Committee”) is in the best interests of the Company and its shareholders because Dr. Violin will be able to provide substantial insight and guidance to the Company on potential director nominees and corporate governance matters as a result of his experience as Crescent’s former Chief Executive Officer and his experience serving as a chief executive officer or director of other public biotechnology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Peter Harwin is the Chair of our Board (“Chair”). Although our governance documents do not require that we separate the Chief Executive Officer and Chair positions, our Board believes that having the positions be separate is the appropriate leadership structure for us at this time as it helps facilitate independent board oversight of management and allows the Chief Executive Officer to focus on strategy execution and managing the business while the Chair focuses on corporate governance and managing our Board.</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recognizes that, depending on future circumstances, other leadership models, such as combining the roles of Chief Executive Officer and Chair, might be appropriate. Accordingly, our Board may periodically review its leadership structure. At any time when a non-independent director is serving as Chair, we anticipate that our independent directors will designate a lead independent director to preside at all meetings of the Board at which the Chair is not present, preside over executive sessions of the independent directors, which will occur regularly throughout each year, serve as a liaison between the Chair and independent directors, and perform such additional duties as our Board may otherwise determine and delegate.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Committee, each of which operate pursuant to a charter adopted by our Board. We believe the functioning and composition of these committees complies with the requirements of Nasdaq listing rules and SEC rules and regulations.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80"/>
          </w:cols>
          <w:pgMar w:left="320" w:top="1440" w:right="399" w:bottom="1440" w:gutter="0" w:footer="0" w:header="0"/>
        </w:sectPr>
      </w:pPr>
    </w:p>
    <w:bookmarkStart w:id="146" w:name="page147"/>
    <w:bookmarkEnd w:id="146"/>
    <w:p>
      <w:pPr>
        <w:spacing w:after="0" w:line="140"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may also establish other committees from time to time to assist us and our Board. Each of the audit committee, compensation committee and the governance committee has the responsibilities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Alexandra Balcom, David Lubner and Susan Moran, each of whom qualifies as an independent director for Audit Committee purposes as defined under the rules of the SEC and the applicable Nasdaq listing rules and has sufficient knowledge in financial and auditing matters to serve on our Audit Committee. Alexandra Balcom is the chair of the Audit Committee. In addition, our Board has determined that Alexandra Balcom is an “audit committee financial expert” as defined under the rules of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Alexandra Balcom, David Lubner and Susan Moran, each of whom qualifies as an independent director for Compensation Committee purposes as defined under the rules of the SEC and the applicable Nasdaq listing rules. David Lubner is the chair of the Compensation Committee.</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primary responsibilities of our Compensation Committee is to periodically review and approve the compensation and other benefits for our senior officers and directors. This includes reviewing and approving corporate goals and objectives relevant to the compensation of our executive officers, evaluating the performance of these officers in light of the goals and objectives and setting the officers’ compensation. The Compensation Committee also administers and makes recommendations to our Board regarding equity incentive plans that are subject to the Board’s approval and approve the grant of equity awards under the plans to executive officers.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members of our Nominating Committee are Peter Harwin, David Lubner, and Jonathan Violin. Peter Harwin is the chair of the Nominating Committee.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Nasdaq Rule 5605(e)(1)(B) typically requires a nominations committee comprised solely of independent directors. However, Nasdaq Rule 5605(e)(3) provides that, if the nominations committee is comprised of at least three members, one director, who is not an independent director and is not currently an executive officer or an employee or a family member of an executive officer of the company, may be appointed to the nominations committee, under exceptional and limited circumstances, if the Board determines that such individual’s membership on the committee is required by the best interests of the company and its shareholders.</w:t>
      </w:r>
    </w:p>
    <w:p>
      <w:pPr>
        <w:spacing w:after="0" w:line="1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Board has determined that, due to exceptional and limited circumstances, Dr. Violin’s membership on the Nominating Committee is in the best interests of us and our shareholders because Dr. Violin will be able to provide substantial insight and guidance to us on potential director nominees and corporate governance matters given his experience as Pre-Merger Crescent’s former Chief Executive Officer and his experience serving as a Chief Executive Officer or director of other public biotechnology companies.</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Nominating Committee is responsible for engaging in succession planning for our Board, developing and recommending to our Board criteria for identifying and evaluating qualified director candidates and making recommendations to our Board regarding candidates for election or reelection to our Board at each annual shareholders’ meeting. In addition, the Nominating Committee is responsible for overseeing corporate governance matters. The Nominating Committee is also responsible for overseeing the structure, composition and functioning of our Board and its committees.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an officer or employee of the Company. None of our executive officers currently serves, or in the past fiscal year has served, as a member of the board of directors or compensation committee of any entity that has one or more executive officers that serves on our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has adopted a Code of Conduct and Ethics that establishes the standards of ethical conduct applicable to all of our directors, officers and employees. The full text of our Code of Conduct and Ethics is posted on our website at www.crescentbiopharma.com. It addresses, among other matters, compliance with laws and policies, conflicts of interest, corporate opportunities, regulatory reporting, external communications, confidentiality requirements, insider trading, proper use of assets and how to report compliance concerns. Any amendments to the Code of Conduct and Ethics, or any waivers of its requirements, will be posted on our website to the extent required by applicable rules. The Audit Committee is responsible for applying and interpreting the Code of Conduct and Ethics in situations where questions are presented to it.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“2025 Summary Compensation Table” below. In 2025, our “named executive officers” and their positions were as follows:</w:t>
      </w:r>
    </w:p>
    <w:p>
      <w:pPr>
        <w:spacing w:after="0" w:line="108"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Brumm, our Chief Executive Officer and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McNeill, M.D., our Chief Operating Officer and President;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Ellie Im, M.D., our Chief Medical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44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Total Compensation</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2"/>
                <w:szCs w:val="12"/>
                <w:color w:val="auto"/>
              </w:rPr>
            </w:pPr>
          </w:p>
        </w:tc>
        <w:tc>
          <w:tcPr>
            <w:tcW w:w="16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Stock Awards ($) </w:t>
            </w:r>
            <w:r>
              <w:rPr>
                <w:rFonts w:ascii="Times New Roman" w:cs="Times New Roman" w:eastAsia="Times New Roman" w:hAnsi="Times New Roman"/>
                <w:sz w:val="18"/>
                <w:szCs w:val="18"/>
                <w:b w:val="1"/>
                <w:bCs w:val="1"/>
                <w:color w:val="auto"/>
                <w:vertAlign w:val="superscript"/>
              </w:rPr>
              <w:t>(1)</w:t>
            </w: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Option Awards ($) </w:t>
            </w:r>
            <w:r>
              <w:rPr>
                <w:rFonts w:ascii="Times New Roman" w:cs="Times New Roman" w:eastAsia="Times New Roman" w:hAnsi="Times New Roman"/>
                <w:sz w:val="18"/>
                <w:szCs w:val="18"/>
                <w:b w:val="1"/>
                <w:bCs w:val="1"/>
                <w:color w:val="auto"/>
                <w:vertAlign w:val="superscript"/>
              </w:rPr>
              <w:t>(2)</w:t>
            </w:r>
          </w:p>
        </w:tc>
        <w:tc>
          <w:tcPr>
            <w:tcW w:w="16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Plan Compensation</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 </w:t>
            </w:r>
            <w:r>
              <w:rPr>
                <w:rFonts w:ascii="Times New Roman" w:cs="Times New Roman" w:eastAsia="Times New Roman" w:hAnsi="Times New Roman"/>
                <w:sz w:val="18"/>
                <w:szCs w:val="18"/>
                <w:b w:val="1"/>
                <w:bCs w:val="1"/>
                <w:color w:val="auto"/>
                <w:w w:val="94"/>
                <w:vertAlign w:val="superscript"/>
              </w:rPr>
              <w:t>(3)</w:t>
            </w:r>
          </w:p>
        </w:tc>
        <w:tc>
          <w:tcPr>
            <w:tcW w:w="180" w:type="dxa"/>
            <w:vAlign w:val="bottom"/>
          </w:tcPr>
          <w:p>
            <w:pPr>
              <w:spacing w:after="0"/>
              <w:rPr>
                <w:sz w:val="17"/>
                <w:szCs w:val="17"/>
                <w:color w:val="auto"/>
              </w:rPr>
            </w:pPr>
          </w:p>
        </w:tc>
        <w:tc>
          <w:tcPr>
            <w:tcW w:w="14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Brumm</w:t>
            </w:r>
          </w:p>
        </w:tc>
        <w:tc>
          <w:tcPr>
            <w:tcW w:w="2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554,167</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2,381,440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9,635,227</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546,000</w:t>
            </w:r>
          </w:p>
        </w:tc>
        <w:tc>
          <w:tcPr>
            <w:tcW w:w="1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13,116,834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&amp; Director</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McNeill, M.D.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435,417</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4,683,542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321,750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6,604,328</w:t>
            </w:r>
          </w:p>
        </w:tc>
        <w:tc>
          <w:tcPr>
            <w:tcW w:w="0" w:type="dxa"/>
            <w:vAlign w:val="bottom"/>
          </w:tcPr>
          <w:p>
            <w:pPr>
              <w:spacing w:after="0"/>
              <w:rPr>
                <w:sz w:val="1"/>
                <w:szCs w:val="1"/>
                <w:color w:val="auto"/>
              </w:rPr>
            </w:pPr>
          </w:p>
        </w:tc>
      </w:tr>
      <w:tr>
        <w:trPr>
          <w:trHeight w:val="23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 &amp; President</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Ellie Im, M.D.</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2,666,923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312,975</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3,662,495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restricted stock units granted during 2025, calculated in accordance with FASB ASC Topic 718.</w:t>
      </w:r>
    </w:p>
    <w:p>
      <w:pPr>
        <w:spacing w:after="0" w:line="11" w:lineRule="exact"/>
        <w:rPr>
          <w:rFonts w:ascii="Times New Roman" w:cs="Times New Roman" w:eastAsia="Times New Roman" w:hAnsi="Times New Roman"/>
          <w:sz w:val="14"/>
          <w:szCs w:val="14"/>
          <w:color w:val="auto"/>
        </w:rPr>
      </w:pPr>
    </w:p>
    <w:p>
      <w:pPr>
        <w:ind w:left="340" w:right="40" w:hanging="332"/>
        <w:spacing w:after="0" w:line="261" w:lineRule="auto"/>
        <w:tabs>
          <w:tab w:leader="none" w:pos="33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stock options awarded to the our named executive officers, calculated in accordance with FASB ASC Topic 718. The following range of assumptions were used in calculating the grant date fair value of awards during 2025: (i) expected volatility of 97% - 103%, (ii) expected term of 5.8 - 6.1 years, (iii) risk-free interest rate of 3.8% - 4.2%%, (iv) an expected dividend yield of 0% and (v) a stock price equal to the closing price of Crescent’s common stock on the date of grant.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annual bonuses earned in 2025 based on achievement of corporate performance measures and are expected to be paid in the first quarter for 2026.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2025, the primary elements of our named executive officers’ compensation and the main objectives of each element were:</w:t>
      </w:r>
    </w:p>
    <w:p>
      <w:pPr>
        <w:spacing w:after="0" w:line="169"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attracts and retains talented executives, recognizes individual roles and responsibilities, and provides stable income;</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4"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Performance-Based Incentive Compensation</w:t>
      </w:r>
      <w:r>
        <w:rPr>
          <w:rFonts w:ascii="Times New Roman" w:cs="Times New Roman" w:eastAsia="Times New Roman" w:hAnsi="Times New Roman"/>
          <w:sz w:val="18"/>
          <w:szCs w:val="18"/>
          <w:color w:val="auto"/>
        </w:rPr>
        <w:t>. Annual performance bonuses promote short-term performance objectives and reward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for their contributions toward achieving those objectives; and</w:t>
      </w:r>
    </w:p>
    <w:p>
      <w:pPr>
        <w:spacing w:after="0" w:line="104" w:lineRule="exact"/>
        <w:rPr>
          <w:rFonts w:ascii="Times New Roman" w:cs="Times New Roman" w:eastAsia="Times New Roman" w:hAnsi="Times New Roman"/>
          <w:sz w:val="18"/>
          <w:szCs w:val="18"/>
          <w:color w:val="auto"/>
        </w:rPr>
      </w:pPr>
    </w:p>
    <w:p>
      <w:pPr>
        <w:jc w:val="both"/>
        <w:ind w:left="660" w:right="640" w:hanging="328"/>
        <w:spacing w:after="0" w:line="315" w:lineRule="auto"/>
        <w:tabs>
          <w:tab w:leader="none" w:pos="6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Equity-Based Compensation</w:t>
      </w:r>
      <w:r>
        <w:rPr>
          <w:rFonts w:ascii="Times New Roman" w:cs="Times New Roman" w:eastAsia="Times New Roman" w:hAnsi="Times New Roman"/>
          <w:sz w:val="17"/>
          <w:szCs w:val="17"/>
          <w:color w:val="auto"/>
        </w:rPr>
        <w:t>. Equity-based compensation creates an ownership culture among our employees that provides an incentive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contribute to the continued growth and development of our business and aligns the interests of executives with those of our equityholders.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elements of compensation for 2025 is described further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8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the base salaries of our executive officers annually and may, based upon and following receipt of the recommendations of the Chief Executive Officer (other than with respect to his own base salary) and in consultation with our board of directors, adopt certain market-based adjustments to take effect for the remainder of the year.</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these considerations, the compensation committee determined at its early 2025 meeting not to increase the annual base salaries of any of named executive officers for 2025. The table below sets forth the annual base salary rate during 2025 for each named executive officer.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6"/>
                <w:szCs w:val="16"/>
                <w:color w:val="auto"/>
              </w:rPr>
            </w:pPr>
          </w:p>
        </w:tc>
        <w:tc>
          <w:tcPr>
            <w:tcW w:w="13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 Base Salary</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Brumm</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McNeill, M.D.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Ellie Im, M.D.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annual short-term incentive program (“STIP”) is an important component of the executive compensation program and is designed to reinforce our company’s goals and strategic initiatives and retain our executives by rewarding them for the achievement of company and individual annual performance goals. Our board of directors establishes the objectives of the STIP annually to ensure that the program aligns management’s financial interests with those of our company. All of the named executive officers are eligible for an annual incentive award under the STIP. For 2025, Mr. Brumm, and Drs. McNeill and Im were eligible to receive a target annual bonus under the STIP equal to 60%, 45% and 45% of base salary, respectively.</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Payouts under the 2025 STIP were determined primarily based on achievement of individual and corporate performance goals during the 2025 fiscal year. Our corporate goals were as follows: (i) submission of CR-001 IND or an equivalent, (ii) closing of a reverse merger and private investment in public equity, (iii) pipeline expansion, (iv) fulfillment of our hiring plan, and (v) raising of additional funds, which such goals were determined by our board of directors and compensation committee to have been achieved above target. The actual annual cash bonuses awarded to each named executive officer for 2025 performance are set forth above in the Summary Compensation Table in the column entitled “Non-Equity Incentive Plan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the interests of our executives with those of our shareholders.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of our named executive officers currently hold stock options and RSU awards. Specifically, in 2025, each of our named executive officers received grants as set forth below. RSUs generally vest either (a) as to one-fourth of the shares subject to the award, on the first anniversary of the vesting commencement date and as to the remainder, in 12 equal quarterly installments thereafter, or (b) in equal quarterly installments through the four-year anniversary of the vesting commencement date, subject to continued service through each applicable vesting date. Stock options typically vest either (x) as to one-fourth of the shares subject to the award, on the first anniversary of the vesting commencement date and as to the remainder, in 36 equal monthly installments thereafter, or (y) in 48 equal monthly installments measured from the vesting commencement date, subject in each case to continued employment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equity awards granted to our named executive officers in the 2025 fiscal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2025 Options Granted</w:t>
            </w:r>
          </w:p>
        </w:tc>
        <w:tc>
          <w:tcPr>
            <w:tcW w:w="15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2025 Stock Awards</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156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Granted (#)</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Brumm</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1,331,339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323,517</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McNeill, M.D.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159,707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Ellie Im, M.D.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provide our employees, including the named executive officers, the opportunity to participate in a tax-qualified defined contribution 401(k) retirement plan; however, we do not provide any matching or other contributions under such plan. We do not provide any non-qualified deferred compensation plans or defined benefit plans.</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for company-wide benefits on the same basis as other regular full-time employees in the United States, including the right to participate in health and welfare benefits (as described below) and our 401(k) plan (as described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71"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171" w:lineRule="exact"/>
        <w:rPr>
          <w:sz w:val="20"/>
          <w:szCs w:val="20"/>
          <w:color w:val="auto"/>
        </w:rPr>
      </w:pPr>
    </w:p>
    <w:p>
      <w:pPr>
        <w:ind w:right="120"/>
        <w:spacing w:after="0" w:line="438" w:lineRule="auto"/>
        <w:rPr>
          <w:sz w:val="20"/>
          <w:szCs w:val="20"/>
          <w:color w:val="auto"/>
        </w:rPr>
      </w:pPr>
      <w:r>
        <w:rPr>
          <w:rFonts w:ascii="Times New Roman" w:cs="Times New Roman" w:eastAsia="Times New Roman" w:hAnsi="Times New Roman"/>
          <w:sz w:val="18"/>
          <w:szCs w:val="18"/>
          <w:color w:val="auto"/>
        </w:rPr>
        <w:t xml:space="preserve">We believe the perquisites described above are necessary and appropriate to provide a competitive compensation package to our named executive officers. </w:t>
      </w:r>
      <w:r>
        <w:rPr>
          <w:rFonts w:ascii="Times New Roman" w:cs="Times New Roman" w:eastAsia="Times New Roman" w:hAnsi="Times New Roman"/>
          <w:sz w:val="18"/>
          <w:szCs w:val="18"/>
          <w:b w:val="1"/>
          <w:bCs w:val="1"/>
          <w:i w:val="1"/>
          <w:iCs w:val="1"/>
          <w:color w:val="auto"/>
        </w:rPr>
        <w:t>No Tax Gross-Ups</w:t>
      </w:r>
    </w:p>
    <w:p>
      <w:pPr>
        <w:spacing w:after="0" w:line="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named executive officer as of December 31, 2025. All equity awards set forth in the table below were granted under our 2024 Equity Incentive Plan (the “2024 Plan”) or our 2025 Stock Incentive Plan (the “2025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4"/>
          </w:tcPr>
          <w:p>
            <w:pPr>
              <w:ind w:left="9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3"/>
          </w:tcPr>
          <w:p>
            <w:pPr>
              <w:jc w:val="right"/>
              <w:ind w:right="871"/>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Number of Securities</w:t>
            </w:r>
          </w:p>
        </w:tc>
        <w:tc>
          <w:tcPr>
            <w:tcW w:w="130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w w:val="98"/>
              </w:rPr>
              <w:t>Number of Securities</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 of Shares or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Market Value of Shares</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3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Underlying Unexercised</w:t>
            </w: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Option Exercise Price</w:t>
            </w: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2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Underlying Unexercised</w:t>
            </w:r>
          </w:p>
        </w:tc>
        <w:tc>
          <w:tcPr>
            <w:tcW w:w="13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280" w:type="dxa"/>
            <w:vAlign w:val="bottom"/>
            <w:gridSpan w:val="2"/>
            <w:vMerge w:val="continue"/>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Option Expiration Date</w:t>
            </w:r>
          </w:p>
        </w:tc>
        <w:tc>
          <w:tcPr>
            <w:tcW w:w="13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Units of Stock That Have</w:t>
            </w:r>
          </w:p>
        </w:tc>
        <w:tc>
          <w:tcPr>
            <w:tcW w:w="12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or Units of Stock That</w:t>
            </w:r>
          </w:p>
        </w:tc>
        <w:tc>
          <w:tcPr>
            <w:tcW w:w="0" w:type="dxa"/>
            <w:vAlign w:val="bottom"/>
          </w:tcPr>
          <w:p>
            <w:pPr>
              <w:spacing w:after="0"/>
              <w:rPr>
                <w:sz w:val="1"/>
                <w:szCs w:val="1"/>
                <w:color w:val="auto"/>
              </w:rPr>
            </w:pPr>
          </w:p>
        </w:tc>
      </w:tr>
      <w:tr>
        <w:trPr>
          <w:trHeight w:val="155"/>
        </w:trPr>
        <w:tc>
          <w:tcPr>
            <w:tcW w:w="218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Options (#) Exercisable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Not Vested (#)</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Have Not Vested ($)</w:t>
            </w:r>
          </w:p>
        </w:tc>
        <w:tc>
          <w:tcPr>
            <w:tcW w:w="0" w:type="dxa"/>
            <w:vAlign w:val="bottom"/>
          </w:tcPr>
          <w:p>
            <w:pPr>
              <w:spacing w:after="0"/>
              <w:rPr>
                <w:sz w:val="1"/>
                <w:szCs w:val="1"/>
                <w:color w:val="auto"/>
              </w:rPr>
            </w:pPr>
          </w:p>
        </w:tc>
      </w:tr>
      <w:tr>
        <w:trPr>
          <w:trHeight w:val="203"/>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Joshua Brumm</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3/17/2025</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805,200</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3/16/2035</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3/17/2025</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268,400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3,183,224</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12/8/2025</w:t>
            </w:r>
            <w:r>
              <w:rPr>
                <w:rFonts w:ascii="Times New Roman" w:cs="Times New Roman" w:eastAsia="Times New Roman" w:hAnsi="Times New Roman"/>
                <w:sz w:val="18"/>
                <w:szCs w:val="18"/>
                <w:color w:val="auto"/>
                <w:vertAlign w:val="superscript"/>
              </w:rPr>
              <w:t>(3)</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345,672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12/7/2035</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12/15/2025</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180,467</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12/15/2035</w:t>
            </w: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12/15/2025</w:t>
            </w:r>
            <w:r>
              <w:rPr>
                <w:rFonts w:ascii="Times New Roman" w:cs="Times New Roman" w:eastAsia="Times New Roman" w:hAnsi="Times New Roman"/>
                <w:sz w:val="18"/>
                <w:szCs w:val="18"/>
                <w:color w:val="auto"/>
                <w:vertAlign w:val="superscript"/>
              </w:rPr>
              <w:t>(4)</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55,117</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653,688</w:t>
            </w:r>
          </w:p>
        </w:tc>
        <w:tc>
          <w:tcPr>
            <w:tcW w:w="0" w:type="dxa"/>
            <w:vAlign w:val="bottom"/>
          </w:tcPr>
          <w:p>
            <w:pPr>
              <w:spacing w:after="0"/>
              <w:rPr>
                <w:sz w:val="1"/>
                <w:szCs w:val="1"/>
                <w:color w:val="auto"/>
              </w:rPr>
            </w:pPr>
          </w:p>
        </w:tc>
      </w:tr>
      <w:tr>
        <w:trPr>
          <w:trHeight w:val="20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Jonathan McNeill, M.D.</w:t>
            </w: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3/17/2025</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402,600</w:t>
            </w:r>
          </w:p>
        </w:tc>
        <w:tc>
          <w:tcPr>
            <w:tcW w:w="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3/16/2035</w:t>
            </w: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3/17/2025</w:t>
            </w:r>
            <w:r>
              <w:rPr>
                <w:rFonts w:ascii="Times New Roman" w:cs="Times New Roman" w:eastAsia="Times New Roman" w:hAnsi="Times New Roman"/>
                <w:sz w:val="18"/>
                <w:szCs w:val="18"/>
                <w:color w:val="auto"/>
                <w:vertAlign w:val="superscript"/>
              </w:rPr>
              <w:t>(2)</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1,591,612</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12/8/2025</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172,836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12/7/2035</w:t>
            </w: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12/15/2025</w:t>
            </w:r>
            <w:r>
              <w:rPr>
                <w:rFonts w:ascii="Times New Roman" w:cs="Times New Roman" w:eastAsia="Times New Roman" w:hAnsi="Times New Roman"/>
                <w:sz w:val="18"/>
                <w:szCs w:val="18"/>
                <w:color w:val="auto"/>
                <w:vertAlign w:val="superscript"/>
              </w:rPr>
              <w:t>(3)</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78,029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12/15/2035</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12/15/2025</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302,513</w:t>
            </w: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Ellie Im, M.D.</w:t>
            </w:r>
          </w:p>
        </w:tc>
        <w:tc>
          <w:tcPr>
            <w:tcW w:w="1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4/1/2025</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257,822</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3/31/2035</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12/15/2025</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65,190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12/15/2035</w:t>
            </w: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12/15/2025</w:t>
            </w:r>
            <w:r>
              <w:rPr>
                <w:rFonts w:ascii="Times New Roman" w:cs="Times New Roman" w:eastAsia="Times New Roman" w:hAnsi="Times New Roman"/>
                <w:sz w:val="18"/>
                <w:szCs w:val="18"/>
                <w:color w:val="auto"/>
                <w:vertAlign w:val="superscript"/>
              </w:rPr>
              <w:t>(4)</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252,594</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0" w:hanging="332"/>
        <w:spacing w:after="0" w:line="259" w:lineRule="auto"/>
        <w:tabs>
          <w:tab w:leader="none" w:pos="33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vest as to one-fourth of the awards on the first anniversary of the vesting commencement date and the remaining shares in 36 equal monthly installments measured from the first anniversary of the vesting commencement date, subject to the recipient's continuous service with us as of each such vesting date.</w:t>
      </w:r>
    </w:p>
    <w:p>
      <w:pPr>
        <w:ind w:left="340" w:right="260" w:hanging="332"/>
        <w:spacing w:after="0" w:line="261" w:lineRule="auto"/>
        <w:tabs>
          <w:tab w:leader="none" w:pos="33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vest as to one-fourth of the awards on the first anniversary of the vesting commencement date and the remaining shares in 12 equal quarterly installments measured from the first anniversary of the vesting commencement date, subject to the recipient's continuous service with us as of each such vesting date.</w:t>
      </w:r>
    </w:p>
    <w:p>
      <w:pPr>
        <w:ind w:left="320" w:hanging="312"/>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vest in 48 equal monthly installments measured from the vesting commencement date, subject to the recipient's continuous service with us as of each such vesting date.</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vest in equal three-month installments through the four-year anniversary of the effective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Offer Letters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previously entered into letter agreements with Mr. Brumm and Drs. McNeill and Im which govern their employment with us. The terms of such agreements are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Joshua Brumm</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15, 2025, we entered into an offer letter with Mr. Brumm (the “</w:t>
      </w:r>
      <w:r>
        <w:rPr>
          <w:rFonts w:ascii="Times New Roman" w:cs="Times New Roman" w:eastAsia="Times New Roman" w:hAnsi="Times New Roman"/>
          <w:sz w:val="18"/>
          <w:szCs w:val="18"/>
          <w:u w:val="single" w:color="auto"/>
          <w:color w:val="auto"/>
        </w:rPr>
        <w:t>Brumm Offer Letter</w:t>
      </w:r>
      <w:r>
        <w:rPr>
          <w:rFonts w:ascii="Times New Roman" w:cs="Times New Roman" w:eastAsia="Times New Roman" w:hAnsi="Times New Roman"/>
          <w:sz w:val="18"/>
          <w:szCs w:val="18"/>
          <w:color w:val="auto"/>
        </w:rPr>
        <w:t>”) for the position of Chief Executive Officer, which provides for Mr. Brumm’s at-will employment. Pursuant to the Brumm Offer Letter, Mr. Brumm is eligible to receive an annual base salary and an annual incentive bonus of up to 60% of his annual base salary based on the achievement of performance targets as reasonably determined by us each year. Mr. Brumm is also eligible to participate in the employee benefit plans generally available to our full-time employees, subject to the terms of those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Jonathan McNeill, M.D.</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15, 2025, we entered into an offer letter with Dr. McNeill (the “</w:t>
      </w:r>
      <w:r>
        <w:rPr>
          <w:rFonts w:ascii="Times New Roman" w:cs="Times New Roman" w:eastAsia="Times New Roman" w:hAnsi="Times New Roman"/>
          <w:sz w:val="18"/>
          <w:szCs w:val="18"/>
          <w:u w:val="single" w:color="auto"/>
          <w:color w:val="auto"/>
        </w:rPr>
        <w:t>McNeill Offer Letter</w:t>
      </w:r>
      <w:r>
        <w:rPr>
          <w:rFonts w:ascii="Times New Roman" w:cs="Times New Roman" w:eastAsia="Times New Roman" w:hAnsi="Times New Roman"/>
          <w:sz w:val="18"/>
          <w:szCs w:val="18"/>
          <w:color w:val="auto"/>
        </w:rPr>
        <w:t>”) for the position of Chief Operating Officer and President, which provides for Dr. McNeill’s at-will employment. Pursuant to the McNeill Offer Letter, Dr. McNeill is eligible to receive an annual base salary and an annual incentive bonus of up to 45% of his annual base salary based on the achievement of performance targets as reasonably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us each year. Dr. McNeill is also eligible to participate in the employee benefit plans generally available to our full-time employees, subject to the terms of those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Ellie Im, M.D.</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19, 2025, we entered into an offer letter with Dr. Im (the “</w:t>
      </w:r>
      <w:r>
        <w:rPr>
          <w:rFonts w:ascii="Times New Roman" w:cs="Times New Roman" w:eastAsia="Times New Roman" w:hAnsi="Times New Roman"/>
          <w:sz w:val="18"/>
          <w:szCs w:val="18"/>
          <w:u w:val="single" w:color="auto"/>
          <w:color w:val="auto"/>
        </w:rPr>
        <w:t>Im Offer Letter</w:t>
      </w:r>
      <w:r>
        <w:rPr>
          <w:rFonts w:ascii="Times New Roman" w:cs="Times New Roman" w:eastAsia="Times New Roman" w:hAnsi="Times New Roman"/>
          <w:sz w:val="18"/>
          <w:szCs w:val="18"/>
          <w:color w:val="auto"/>
        </w:rPr>
        <w:t>”) for the position of Chief Medical Officer, which provides for Dr. Im’s at-will employment. Pursuant to the Im Offer Letter, Dr. Im is eligible to receive an annual base salary and an annual incentive bonus of up to 45% of her annual base salary based on the achievement of performance targets as reasonably determined by us each year. Dr. Im is also eligible to participate in the employee benefit plans generally available to our full-time employees, subject to the terms of those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Arrangements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participates in our Executive Severance Plan (the “Severance Plan”), which provides the named executive officers with severance benefits in the event of their termination of employment without Cause or resignation for Good Reason, each as defined in the Severance Plan (a “Qualifying Termination”) and enhanced severance benefits if such termination occurs within three months before to 12 months after a Change in Control, as defined in the Severance Plan (a “CIC Qualifying Termination”). The severance benefits provided in the Severance Plan supersede the separation benefits, if any, provided under the terms of each named executive officer’s offer letter.</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Severance Plan, in the event of a Qualifying Termination, and subject to the named executive officer’s execution of a general release of claims and continued compliance with all restrictive covenant obligations with the Company, the named executive officer will receive: (i) base salary continuation equal to the named executive officer’s “Severance Multiplier” multiplied by the named executive officer’s base salary; (ii) Company-subsidized continuation coverage under the Company’s group health plans for up to a number of months equal to the named executive officer’s “COBRA Multiplier”; and (iii) any other additional benefits specified in the named executive officer’s participation agreement. In the event of a CIC Qualifying Termination, and subject to the named executive officer’s execution of a general release of claims and continued compliance with all restrictive covenant obligations with our company, the named executive officer will receive: (i) a lump sum severance payment equal to the named executive officer’s “CIC Severance Multiplier” multiplied by the sum of the named executive officer’s base salary plus target bonus; (ii) any unpaid annual bonus for the year immediately preceding the termination year based on actual performance; (iii) a lump sum cash payment equal to the named executive officer’s “CIC COBRA Multiplier” multiplied by the monthly continuation coverage premiums for the named executive officer and the named executive officer’s covered dependents; and (iv) accelerated vesting of the named executive officer’s then outstanding equity-based awards, with any performance-based vesting conditions deemed to have been met based on the greater of target or, if determinable, actual performance.</w:t>
      </w:r>
    </w:p>
    <w:p>
      <w:pPr>
        <w:spacing w:after="0" w:line="136"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Mr. Brumm participates in the Severance Plan with a Severance Multiplier of 1.0x, a COBRA Multiplier of 12, a CIC Severance Multiplier of 1.5x, and a CIC COBRA Multiplier of 18. The Company’s other named executive officers participate with a Severance Multiplier of 1.0x, a COBRA Multiplier of 12, a CIC Severance Multiplier of 1.25x, and a CIC COBRA Multiplier of 15. In addition, upon a Qualifying Termination after March 17, 2026, for Mr.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Brumm and Dr. McNeill, 30% of the unvested portion of their outstanding time-based equity awards will accelerate and become vested. In the event any of the amounts provided under the Severance Plan (or otherwise) would constitute a “parachute payment” within the meaning of Section 280G of the Code, and subject to the excise tax imposed by Section 4999 of the Code, then the Company’s named executive officers will be eligible to receive a tax gross-up payment with respect to the excise tax imposed by Section 4999 of the Code.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compensation for serving on the our board of directors, each director who is not an employee of our company receives an annual cash retainer and equity award for service on our board of directors and for service on each committee on which the director is a member. The compensation of our directors is based on market practice information provided by our independent compensation consultant. This compensation is periodically reviewed with respect to cash retainers and equity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80"/>
          </w:cols>
          <w:pgMar w:left="320" w:top="1440" w:right="399" w:bottom="1440" w:gutter="0" w:footer="0" w:header="0"/>
        </w:sectPr>
      </w:pPr>
    </w:p>
    <w:bookmarkStart w:id="153" w:name="page154"/>
    <w:bookmarkEnd w:id="153"/>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retainers paid to non-employee directors for service on the Board and for service on each committee of the Board on which the director is a member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Member Annual Service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Chairman Additional</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Annual Service Retainer</w:t>
            </w:r>
          </w:p>
        </w:tc>
        <w:tc>
          <w:tcPr>
            <w:tcW w:w="0" w:type="dxa"/>
            <w:vAlign w:val="bottom"/>
          </w:tcPr>
          <w:p>
            <w:pPr>
              <w:spacing w:after="0"/>
              <w:rPr>
                <w:sz w:val="1"/>
                <w:szCs w:val="1"/>
                <w:color w:val="auto"/>
              </w:rPr>
            </w:pPr>
          </w:p>
        </w:tc>
      </w:tr>
      <w:tr>
        <w:trPr>
          <w:trHeight w:val="198"/>
        </w:trPr>
        <w:tc>
          <w:tcPr>
            <w:tcW w:w="80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Retainer ($)</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These retainers are payable in arrears in four equal quarterly installments on the last day of each quarter, provided that the amount of such payment is prorated for any portion of such quarter that the director is not serving on our board of directors. We also reimbursed our non-employee directors for reasonable travel and out-of-pocket expenses incurred in connection with attending our board of director and committee meetings.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non-employee director compensation policy allows for each director to make an election to receive all or a portion of the annual cash compensation payable above in the form of fully vested ordinary shares. Elections must be delivered before the start of the fiscal year to which the election relates. Elections cannot be altered with respect to a fiscal year once the fiscal year begins and, once made, such election remains in effect for all subsequent fiscal years unless and until revised or revoked.</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any new non-employee director receives an option grant to purchase a number of ordinary shares upon becoming a director equal to 0.077% of the value of the Company. This grant will vest in equal monthly installments through the third anniversary of the date of grant. Further, on the date of our annual meeting of shareholders, each non-employee director that continues to serve as a non-employee member of our board of directors will receive an annual option to purchase a number of ordinary shares equal to 0.038% of the value of the Company. The annual grant to the non-employee director vests on the earlier of the next annual shareholder meeting or the first full anniversary of the date of grant. The exercise price of options granted to directors is equal to the closing price of our ordinary shares on the Nasdaq Capital Market on the date of grant.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compensation earned by each of our non-employee directors for the year ended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(1)</w:t>
            </w: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70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(3)</w:t>
            </w: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Alexandra Balcom</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106,923</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139,840</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Harwin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47,182</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106,923</w:t>
            </w:r>
          </w:p>
        </w:tc>
        <w:tc>
          <w:tcPr>
            <w:tcW w:w="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154,105</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Lubner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260,422</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289,774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Moran, M.D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106,923</w:t>
            </w:r>
          </w:p>
        </w:tc>
        <w:tc>
          <w:tcPr>
            <w:tcW w:w="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139,566</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Violin, Ph.D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474,183</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restricted stock awards granted during 2025, calculated in accordance with FASB ASC Topic 718.</w:t>
      </w:r>
    </w:p>
    <w:p>
      <w:pPr>
        <w:spacing w:after="0" w:line="14" w:lineRule="exact"/>
        <w:rPr>
          <w:rFonts w:ascii="Times New Roman" w:cs="Times New Roman" w:eastAsia="Times New Roman" w:hAnsi="Times New Roman"/>
          <w:sz w:val="14"/>
          <w:szCs w:val="14"/>
          <w:color w:val="auto"/>
        </w:rPr>
      </w:pPr>
    </w:p>
    <w:p>
      <w:pPr>
        <w:ind w:left="340" w:right="80" w:hanging="332"/>
        <w:spacing w:after="0" w:line="256"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stock options awarded to our non-employee directors, calculated in accordance with FASB ASC Topic 718. The following range of assumptions were used in calculating the grant date fair value of awards during 2025: (i) expected volatility of 97% - 98%, (ii) expected term of 5.5 - 6.1 years, (iii) risk-free interest rate of 3.9% - 4.1%, (iv) an expected dividend yield of 0% and (v) a stock price equal to the closing price of Crescent’s common stock on the date of grant.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consulting fees paid for services provided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and unvested stock awards held as of December 31, 2025 by each non-employee director who was serving as of December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0" w:type="dxa"/>
            <w:vAlign w:val="bottom"/>
          </w:tcPr>
          <w:p>
            <w:pPr>
              <w:spacing w:after="0"/>
              <w:rPr>
                <w:sz w:val="1"/>
                <w:szCs w:val="1"/>
                <w:color w:val="auto"/>
              </w:rPr>
            </w:pPr>
          </w:p>
        </w:tc>
      </w:tr>
      <w:tr>
        <w:trPr>
          <w:trHeight w:val="146"/>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Outstanding at</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8"/>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 Fiscal</w:t>
            </w:r>
          </w:p>
        </w:tc>
        <w:tc>
          <w:tcPr>
            <w:tcW w:w="0" w:type="dxa"/>
            <w:vAlign w:val="bottom"/>
          </w:tcPr>
          <w:p>
            <w:pPr>
              <w:spacing w:after="0"/>
              <w:rPr>
                <w:sz w:val="1"/>
                <w:szCs w:val="1"/>
                <w:color w:val="auto"/>
              </w:rPr>
            </w:pPr>
          </w:p>
        </w:tc>
      </w:tr>
      <w:tr>
        <w:trPr>
          <w:trHeight w:val="198"/>
        </w:trPr>
        <w:tc>
          <w:tcPr>
            <w:tcW w:w="8020" w:type="dxa"/>
            <w:vAlign w:val="bottom"/>
            <w:gridSpan w:val="2"/>
            <w:vMerge w:val="continue"/>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 (#)</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 (#)</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Alexandra Balcom</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Harwin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Lubner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Moran, M.D.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Violin, Ph.D.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13,863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with our executive officers, including those discussed in the sections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 following is a description of each transaction involving our Company since January 1, 2023 (our Company, at all times prior to the reverse recapitalization transaction with Pre-Merger Crescent, is referred to herein as “GlycoMimetics”), each transaction involving Pre-Merger Crescent since September 19, 2024 (inception) and each currently proposed transaction in which:</w:t>
      </w:r>
    </w:p>
    <w:p>
      <w:pPr>
        <w:spacing w:after="0" w:line="129"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us, Pre-Merger Crescent or GlycoMimetics has been or is to be a participant;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and 1% of the average of our, Pre-Merger Crescent’s or GlycoMimetics’ total assets at year-end for the last two completed fiscal years, as applicable; and</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Pre-Merger Crescent’s or GlycoMimetics’ directors, executive officers or holders of more than 5% of our, Pre-Merger Crescent’s or GlycoMimetics’ capital stock, or an affiliate or immediate family member of the foregoing persons, had or will have a direct or indirect material interest.</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Compensation arrangements for our named executive officers and our directors are described elsewhere in this prospectus under “Executive and Director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GlycoMimetics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GlycoMimetics entered into indemnification agreements with its directors and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Pre-Merger Crescent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Financing</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September 2024, Pre-Merger Crescent completed a financing of Pre-Merger Crescent preferred stock and common stock and issued and sold (i) an aggregate of 20,000,000 shares of Pre-Merger Crescent preferred stock to Fairmount at a purchase price of $0.20 per share per share and (ii) an aggregate of 5,000,000 shares of Pre-Merger Crescent common stock to Paragon for aggregate non-cash upfront consideration of Paragon’s entry into the Antibody Paragon Option Agreement, valued at $0.20 per share, 2,500,000 of which Paragon subsequently contributed to Parascent. Fairmount beneficially owns more than 5% of a class of our voting securities, has two seats on our Board and beneficially owns more than 5% of Paragon. Fairmount appointed Paragon’s board of directors and has the contractual right to approve the appointment of any executive officers of Paragon.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Financing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October 2024, Pre-Merger Crescent completed convertible note financings in which it issued and sold to certain investors an aggregate principal amount of $37.5 million in Convertible Notes at an interest rate of 12% per annum, and such investors committed to purchase an aggregate additional principal amount of $37.5 million in Convertible Notes on the same terms when called by Pre-Merger Crescent. The principal amount and all accrued interest under each Convertible Note will convert into a number of shares of Pre-Merger Crescent common stock equal to the quotient obtained by dividing the purchase price by the conversion price in connection with the Crescent Reverse Merger Financing (as defined below), which constitutes a “Next Equity Financing” under the Convertible Notes. The “Crescent Reverse Merger Financing” refers to the financing transaction described below under that certain amended and restated subscription agreement, dated February 14, 2025 (the “Subscription Agreement”), with certain institutional and accredited investors for the purchase of shares of Pre-Merger Crescent common stock and Pre-Merger Crescent pre-funded warrants for an aggregate purchase price of approximately $200.0 million. In a conversion pursuant to a Next Equity Financing such as the Crescent Reverse Merger Financing,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price of the Convertible Notes is the price per share in the Next Equity Financing. The following table summarizes the purchases of Convertible Notes by related persons: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Commitment</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5"/>
        </w:trPr>
        <w:tc>
          <w:tcPr>
            <w:tcW w:w="6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Fairmount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Crescent Reverse Merger Financing</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Merger, on February 14, 2025, Pre-Merger Crescent and GlycoMimetics entered into the Subscription Agreement with certain investors to effect the Crescent Pre-Closing Financing. Pursuant to the Subscription Agreement, the investors purchased an aggregate of 85,506,824 shares of Pre-Merger Crescent common stock and 19,149,690 Pre-Merger Crescent pre-funded warrants, at a price of $1.911 per share of Pre-Merger Crescent common stock and $1.9109 per pre-funded warrant, for aggregate gross proceeds of approximately $200.0 million (which includes $37.5 million of proceeds previously received by Pre-Merger Crescent from the issuance of its Convertible Notes and accrued interest on such notes). The aggregate purchase price of $200.0 million was fixed, while the purchase price per share or warrant and the aggregate number of shares and warrants purchased was subject to change pursuant to the terms of the Subscription Agreement. Four of the investors or their affiliates are beneficial holders of more than 5% of our voting securities, and the table below sets forth the number of shares of Pre-Merger Crescent common stock and Pre-Merger Crescent pre-funded warrants purchased by such holders at the closing of the Crescent Reverse Merger Financing.</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4340" w:type="dxa"/>
            <w:vAlign w:val="bottom"/>
            <w:vMerge w:val="restart"/>
          </w:tcPr>
          <w:p>
            <w:pPr>
              <w:jc w:val="center"/>
              <w:ind w:left="2308"/>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116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4340" w:type="dxa"/>
            <w:vAlign w:val="bottom"/>
            <w:vMerge w:val="continue"/>
          </w:tcPr>
          <w:p>
            <w:pPr>
              <w:spacing w:after="0"/>
              <w:rPr>
                <w:sz w:val="12"/>
                <w:szCs w:val="12"/>
                <w:color w:val="auto"/>
              </w:rPr>
            </w:pPr>
          </w:p>
        </w:tc>
        <w:tc>
          <w:tcPr>
            <w:tcW w:w="16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Warrants of</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4340" w:type="dxa"/>
            <w:vAlign w:val="bottom"/>
          </w:tcPr>
          <w:p>
            <w:pPr>
              <w:jc w:val="center"/>
              <w:ind w:left="2328"/>
              <w:spacing w:after="0" w:line="137" w:lineRule="exact"/>
              <w:rPr>
                <w:sz w:val="20"/>
                <w:szCs w:val="20"/>
                <w:color w:val="auto"/>
              </w:rPr>
            </w:pPr>
            <w:r>
              <w:rPr>
                <w:rFonts w:ascii="Times New Roman" w:cs="Times New Roman" w:eastAsia="Times New Roman" w:hAnsi="Times New Roman"/>
                <w:sz w:val="14"/>
                <w:szCs w:val="14"/>
                <w:b w:val="1"/>
                <w:bCs w:val="1"/>
                <w:color w:val="auto"/>
              </w:rPr>
              <w:t>Pre-Merger Crescent</w:t>
            </w:r>
          </w:p>
        </w:tc>
        <w:tc>
          <w:tcPr>
            <w:tcW w:w="1640" w:type="dxa"/>
            <w:vAlign w:val="bottom"/>
          </w:tcPr>
          <w:p>
            <w:pPr>
              <w:jc w:val="center"/>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Pre-Merger</w:t>
            </w:r>
          </w:p>
        </w:tc>
        <w:tc>
          <w:tcPr>
            <w:tcW w:w="1160" w:type="dxa"/>
            <w:vAlign w:val="bottom"/>
          </w:tcPr>
          <w:p>
            <w:pPr>
              <w:jc w:val="center"/>
              <w:ind w:left="528"/>
              <w:spacing w:after="0" w:line="13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90"/>
        </w:trPr>
        <w:tc>
          <w:tcPr>
            <w:tcW w:w="3400" w:type="dxa"/>
            <w:vAlign w:val="bottom"/>
            <w:vMerge w:val="continue"/>
          </w:tcPr>
          <w:p>
            <w:pPr>
              <w:spacing w:after="0"/>
              <w:rPr>
                <w:sz w:val="16"/>
                <w:szCs w:val="16"/>
                <w:color w:val="auto"/>
              </w:rPr>
            </w:pPr>
          </w:p>
        </w:tc>
        <w:tc>
          <w:tcPr>
            <w:tcW w:w="4340" w:type="dxa"/>
            <w:vAlign w:val="bottom"/>
          </w:tcPr>
          <w:p>
            <w:pPr>
              <w:jc w:val="center"/>
              <w:ind w:left="2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Crescent</w:t>
            </w:r>
          </w:p>
        </w:tc>
        <w:tc>
          <w:tcPr>
            <w:tcW w:w="116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Entities affiliated with Fairmount</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9,604,615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11,326,692</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r>
      <w:tr>
        <w:trPr>
          <w:trHeight w:val="23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Entities affiliated with Venrock Healthcare Capital Partners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3,685,057</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r>
      <w:tr>
        <w:trPr>
          <w:trHeight w:val="23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Entities affiliated with BVF</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8,944,122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4,137,941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r>
      <w:tr>
        <w:trPr>
          <w:trHeight w:val="23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9,786,806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414" w:lineRule="exact"/>
        <w:rPr>
          <w:sz w:val="20"/>
          <w:szCs w:val="20"/>
          <w:color w:val="auto"/>
        </w:rPr>
      </w:pPr>
    </w:p>
    <w:p>
      <w:pPr>
        <w:sectPr>
          <w:pgSz w:w="11900" w:h="16838" w:orient="portrait"/>
          <w:cols w:equalWidth="0" w:num="2">
            <w:col w:w="10820" w:space="260"/>
            <w:col w:w="16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340" w:right="300" w:hanging="332"/>
        <w:spacing w:after="0" w:line="261"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 million of proceeds previously received by Pre-Merger Crescent from the issuance of the Convertible Notes and accrued interest on such notes, with the remainder of the purchase price to be paid in cash.</w:t>
      </w:r>
    </w:p>
    <w:p>
      <w:pPr>
        <w:ind w:left="340" w:right="220" w:hanging="332"/>
        <w:spacing w:after="0" w:line="254"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$11.25 million of proceeds previously received by Pre-Merger Crescent from the issuance of the Convertible Notes and accrued interest on such notes, with the remainder of the purchase price to be paid in cash.</w:t>
      </w:r>
    </w:p>
    <w:p>
      <w:pPr>
        <w:ind w:left="340" w:right="220" w:hanging="332"/>
        <w:spacing w:after="0" w:line="278"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$11.25 million of proceeds previously received by Pre-Merger Crescent from the issuance of the Convertible Notes and accrued interest on such notes, with the remainder of the purchase price to be paid in cash.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Relationships with Paragon, Parascent and Fairmount</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party to the Paragon Option Agreements with Paragon and Parascent. At the time Pre-Merger Crescent entered into the Paragon Option Agreements, Paragon and Parascent each beneficially owned more than 5% of a class of our voting securities. Fairmount beneficially owns more than 5% of a class of our voting securities, two of our directors are affiliated with Fairmount (Peter Harwin and Jonathan Violin) and Fairmount beneficially owns more than 5% of Paragon. Fairmount appointed Paragon’s board of directors and has the contractual right to approve the appointment of any executive officers of Paragon. Parascent is an entity formed by Paragon as a vehicle to hold equity in Pre-Merger Crescent in order to share profits with certain employees of Paragon and will not perform any substantive role under the Paragon Option Agreements other than to receive warrants granted to Parascent under the Paragon Option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Paragon Option Agreements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September 19, 2024, Pre-Merger Crescent entered into the Antibody Paragon Option Agreement with Paragon and Parascent. On October 28, 2024, Pre-Merger Crescent entered into the ADC Paragon Option Agreement with Paragon and Parascent, which was subsequently amended and restated on April 28, 2025. Under the terms of the Paragon Option Agreements, Paragon agreed to perform certain research activities to discover, generate,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identify, and characterize one or more antibody candidates, in the case of the Antibody Paragon Option Agreement, and one or more antibody drug conjugates, in the case of the ADC Paragon Option Agreement, directed to certain mutually agreed therapeutic targets of interest to us (as successor to Pre-Merger Crescent). The Antibody Paragon Option Agreement includes two selected targets for CR-001: PD-1 and VEGF. The ADC Paragon Option Agreement includes one undisclosed target for CR-002 and three undisclosed targets for the product candidate formerly referred to as CR-003 (“Former CR-003”). From time to time, we can choose to add additional targets to the ADC Paragon Option Agreement by mutual agreement with Paragon and Parascent. For more information on the Paragon Option Agreements, see the section titled “</w:t>
      </w:r>
      <w:r>
        <w:rPr>
          <w:rFonts w:ascii="Times New Roman" w:cs="Times New Roman" w:eastAsia="Times New Roman" w:hAnsi="Times New Roman"/>
          <w:sz w:val="18"/>
          <w:szCs w:val="18"/>
          <w:i w:val="1"/>
          <w:iCs w:val="1"/>
          <w:color w:val="auto"/>
        </w:rPr>
        <w:t>Business—Paragon Option Agreements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we have paid Paragon (i) $15.7 million under the Antibody Paragon Option Agreement for development costs related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PD-1 and VEGF incurred by Paragon through the effective date of the agreement, including pre-development costs, (ii) $13.9 million under the ADC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Option Agreement for development costs related to the CR-002 target incurred by Paragon through the effective date of the agreement, and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million under the ADC Paragon Option Agreement for development costs related to the three undisclosed Former CR-003 targets incurred by Paragon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effective date of the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CR-001 License Agreement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28, 2025, Pre-Merger Crescent entered into a License Agreement for all antibodies discovered, generated, identified or characterized by Paragon in the course of performing the CR-001 research program directed to PD-1 and VEGF, antibodies created by us (as successor to Pre-Merger Crescent) derived from the licensed antibodies and directed to PD-1 and VEGF, and products that comprise the foregoing with Paragon (the “CR-001 License Agreement”) consistent with the pre-negotiated terms agreed to upon execution of the Antibody Paragon Option Agreement, pursuant to which Paragon granted us a royalty-bearing, worldwide, exclusive and sublicensable license with respect to certain inventions, patent rights, sequence information and other intellectual property rights related to bispecific and multispecific antibodies directed at PD-1 and VEGF (the “Licensed Antibody Technology”) to develop, manufacture, commercialize and otherwise exploit certain bispecific and multispecific antibodies and products targeting PD-1 and VEGF in the field of prophylaxis, palliation, treatment and diagnosis of human disease and disorders in all therapeutic areas (the “field”) and worldwide (the “territory”). Under the terms of the CR-001 License Agreement, we are obligated to pay Paragon up to $22.0 million based on specific development and regulatory milestones, including a $1.5 million fee for the nomination of a development candidate and a further milestone payment of $2.5 million upon the first dosing of a human patient in a Phase 1 trial. Following the execution of the CR-001 License Agreement, we are solely responsible for, and have sole authority and control over, all aspects of the development, manufacturing and commercialization of CR-001, including regulatory strategy, communications, filings and activities (including clinical trials). For more information on the CR-001 License Agreement, see the section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—CR-001 License Agreement</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2, 2025, we entered into Amendment No. 1 (the “Amendment”) to the CR-001 License Agreement. The purpose of the Amendment was to amend certain terms of the CR-001 License Agreement for the sole purpose of accommodating and aligning with the sublicense for the CR-001 License Agreement with Sichuan Kelun-Biotech Biopharmaceutical Co. Ltd.</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paid Paragon the related $1.5 million milestone payment in connection with the selection of a development candidate for CR-001 and recorded the payment as development expense in our consolidated statements of operations and comprehensive loss during the period from September 19, 2024 (inception) to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CR-002 License Agreement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5, 2025, we entered into a License Agreement for all ADCs discovered, generated, identified or characterized by Paragon in the course of performing the CR-002 research program directed to PD-L1, ADCs created by us derived from the licensed ADCs and directed to PD-L1, and products that comprise the foregoing with Paragon (the “CR-002 License Agreement”) consistent with the pre-negotiated terms agreed to upon execution of the ADC Paragon Option Agreement, pursuant to which Paragon granted us a royalty-bearing, worldwide, exclusive and sublicensable license with respect to certain inventions, patent rights, sequence information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intellectual property rights related to ADCs directed at PD-1 and VEGF (the “Licensed Antibody Technology”) to develop, manufacture, commercialize and otherwise exploit certain ADCs and products targeting PD-L1 in the field of prophylaxis, palliation, treatment and diagnosis of human disease and disorders in all therapeutic areas (the “field”) and worldwide (the “territory”). Under the terms of the CR-002 License Agreement, we are obligated to pay Paragon up to $46.0 million based on specific development and regulatory milestones, including a $5.0 million fee for the nomination of a development candidate and a further milestone payment of $5.0 million upon the first dosing of a human patient in a Phase 1 trial. Following the execution of the CR-002 License Agreement, we are solely responsible for, and have sole authority and control over, all aspects of the development, manufacturing and commercialization of CR-002, including regulatory strategy, communications, filings and activities (including clinical trials). For more information on the CR-002 License Agreement, see the section titled “</w:t>
      </w:r>
      <w:r>
        <w:rPr>
          <w:rFonts w:ascii="Times New Roman" w:cs="Times New Roman" w:eastAsia="Times New Roman" w:hAnsi="Times New Roman"/>
          <w:sz w:val="18"/>
          <w:szCs w:val="18"/>
          <w:i w:val="1"/>
          <w:iCs w:val="1"/>
          <w:color w:val="auto"/>
        </w:rPr>
        <w:t>Business—CR-002 License Agreement</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paid Paragon the related $5.0 million milestone payment in connection with the selection of a development candidate for CR-002 and recorded the payment as research and development expense in our condensed consolidated statements of operations and comprehensive loss during the three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Insurance</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its directors and officers and purchased directors’ and officers’ liability insurance. The indemnification agreements require us to indemnify our directors and officers to the fullest extent permitted under Delaware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Grants to Directors and Executive Officers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entered into restricted stock purchase agreements with certain of its executive officers and directors, as more fully described in the section titled “</w:t>
      </w:r>
      <w:r>
        <w:rPr>
          <w:rFonts w:ascii="Times New Roman" w:cs="Times New Roman" w:eastAsia="Times New Roman" w:hAnsi="Times New Roman"/>
          <w:sz w:val="18"/>
          <w:szCs w:val="18"/>
          <w:i w:val="1"/>
          <w:iCs w:val="1"/>
          <w:color w:val="auto"/>
        </w:rPr>
        <w:t>Executive and Compensation</w:t>
      </w:r>
      <w:r>
        <w:rPr>
          <w:rFonts w:ascii="Times New Roman" w:cs="Times New Roman" w:eastAsia="Times New Roman" w:hAnsi="Times New Roman"/>
          <w:sz w:val="18"/>
          <w:szCs w:val="18"/>
          <w:color w:val="auto"/>
        </w:rPr>
        <w:t>” of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7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Prior to the Merger, Pre-Merger Crescent did not have a formal policy regarding approval of transactions with related parties. All disclosable transactions with related parties prior to the Merger were approved by the directors not interested in such transaction pursuant to Section 144(a)(1) of the DGCL.</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transactions policy. Under this policy, our executive officers, directors, nominees for election as a director, beneficial owners of more than 5% of our voting securities,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subject to limited exceptions, any transaction, arrangement or relationship or series of similar transactions, arrangements or relationships in which (1) the aggregate amount involved since the beginning of the Company’s last completed fiscal year exceeds or is expected to exceed $120,000, (2) the Company or any of our subsidiaries is a participant, and (3) any related person has or will have a direct or indirect interest, will be presented to our Audit Committee for review, consideration and approval. In approving or rejecting any such proposal, our Audit Committee will consider the material facts and other factors it deems appropriate,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1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ordinary shares, as of December 31, 2025:</w:t>
      </w:r>
    </w:p>
    <w:p>
      <w:pPr>
        <w:spacing w:after="0" w:line="171"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ordinary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is determined under rules issued by the Securities and Exchange Commission. Under these rules, beneficial ownership includes any shares as to which the individual or entity has sole or shared voting power or investment power. Applicable percentage ownership is based on 27,556,767 Ordinary Shares outstanding as of December 31, 2025. In computing the number of shares beneficially owned by an individual or entity and the percentage ownership of that person, Ordinary Shares subject to options, warrants or other rights held by such person that are currently exercisable or will become exercisable within 60 days of December 31, 2025 are considered outstanding, although these shares are not considered outstanding for purposes of computing the percentage ownership of any other person. Each of the shareholders listed has sole voting and investment power with respect to the shares beneficially owned by the shareholder unless noted otherwise,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for each beneficial owner is c/o Crescent Biopharma, Inc., 300 Fifth Avenue, Waltham, MA 02451.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Beneficially</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Fairmount Funds Management LLC </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5,643,482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4,133,514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BVF Partners L.P. </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2,753,382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Venrock Healthcare Capital Partners </w:t>
            </w:r>
            <w:r>
              <w:rPr>
                <w:rFonts w:ascii="Times New Roman" w:cs="Times New Roman" w:eastAsia="Times New Roman" w:hAnsi="Times New Roman"/>
                <w:sz w:val="23"/>
                <w:szCs w:val="23"/>
                <w:color w:val="auto"/>
                <w:vertAlign w:val="superscript"/>
              </w:rPr>
              <w:t>(4)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2,666,064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9.49%</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ForGrowth III PA B.V. </w:t>
            </w:r>
            <w:r>
              <w:rPr>
                <w:rFonts w:ascii="Times New Roman" w:cs="Times New Roman" w:eastAsia="Times New Roman" w:hAnsi="Times New Roman"/>
                <w:sz w:val="23"/>
                <w:szCs w:val="23"/>
                <w:color w:val="auto"/>
                <w:vertAlign w:val="superscript"/>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1,677,852</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6.09%</w:t>
            </w:r>
          </w:p>
        </w:tc>
        <w:tc>
          <w:tcPr>
            <w:tcW w:w="0" w:type="dxa"/>
            <w:vAlign w:val="bottom"/>
          </w:tcPr>
          <w:p>
            <w:pPr>
              <w:spacing w:after="0"/>
              <w:rPr>
                <w:sz w:val="1"/>
                <w:szCs w:val="1"/>
                <w:color w:val="auto"/>
              </w:rPr>
            </w:pPr>
          </w:p>
        </w:tc>
      </w:tr>
      <w:tr>
        <w:trPr>
          <w:trHeight w:val="243"/>
        </w:trPr>
        <w:tc>
          <w:tcPr>
            <w:tcW w:w="80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1 Globe Capital LLC </w:t>
            </w:r>
            <w:r>
              <w:rPr>
                <w:rFonts w:ascii="Times New Roman" w:cs="Times New Roman" w:eastAsia="Times New Roman" w:hAnsi="Times New Roman"/>
                <w:sz w:val="23"/>
                <w:szCs w:val="23"/>
                <w:color w:val="auto"/>
                <w:vertAlign w:val="superscript"/>
              </w:rPr>
              <w:t>(6)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1,425,432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5.17%</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Joshua Brumm</w:t>
            </w:r>
            <w:r>
              <w:rPr>
                <w:rFonts w:ascii="Times New Roman" w:cs="Times New Roman" w:eastAsia="Times New Roman" w:hAnsi="Times New Roman"/>
                <w:sz w:val="23"/>
                <w:szCs w:val="23"/>
                <w:color w:val="auto"/>
                <w:vertAlign w:val="superscript"/>
              </w:rPr>
              <w:t>(7)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2.91%</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Jonathan McNeill</w:t>
            </w:r>
            <w:r>
              <w:rPr>
                <w:rFonts w:ascii="Times New Roman" w:cs="Times New Roman" w:eastAsia="Times New Roman" w:hAnsi="Times New Roman"/>
                <w:sz w:val="23"/>
                <w:szCs w:val="23"/>
                <w:color w:val="auto"/>
                <w:vertAlign w:val="superscript"/>
              </w:rPr>
              <w:t>(8)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413,053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Ellie Im</w:t>
            </w:r>
            <w:r>
              <w:rPr>
                <w:rFonts w:ascii="Times New Roman" w:cs="Times New Roman" w:eastAsia="Times New Roman" w:hAnsi="Times New Roman"/>
                <w:sz w:val="23"/>
                <w:szCs w:val="23"/>
                <w:color w:val="auto"/>
                <w:vertAlign w:val="superscript"/>
              </w:rPr>
              <w:t>(9)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Richard Scalzo</w:t>
            </w:r>
            <w:r>
              <w:rPr>
                <w:rFonts w:ascii="Times New Roman" w:cs="Times New Roman" w:eastAsia="Times New Roman" w:hAnsi="Times New Roman"/>
                <w:sz w:val="23"/>
                <w:szCs w:val="23"/>
                <w:color w:val="auto"/>
                <w:vertAlign w:val="superscript"/>
              </w:rPr>
              <w:t>(10)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Christopher Doughty</w:t>
            </w:r>
            <w:r>
              <w:rPr>
                <w:rFonts w:ascii="Times New Roman" w:cs="Times New Roman" w:eastAsia="Times New Roman" w:hAnsi="Times New Roman"/>
                <w:sz w:val="23"/>
                <w:szCs w:val="23"/>
                <w:color w:val="auto"/>
                <w:vertAlign w:val="superscript"/>
              </w:rPr>
              <w:t>(11)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Ryan Lynch</w:t>
            </w:r>
            <w:r>
              <w:rPr>
                <w:rFonts w:ascii="Times New Roman" w:cs="Times New Roman" w:eastAsia="Times New Roman" w:hAnsi="Times New Roman"/>
                <w:sz w:val="23"/>
                <w:szCs w:val="23"/>
                <w:color w:val="auto"/>
                <w:vertAlign w:val="superscript"/>
              </w:rPr>
              <w:t>(12)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Barbara Bispham</w:t>
            </w:r>
            <w:r>
              <w:rPr>
                <w:rFonts w:ascii="Times New Roman" w:cs="Times New Roman" w:eastAsia="Times New Roman" w:hAnsi="Times New Roman"/>
                <w:sz w:val="23"/>
                <w:szCs w:val="23"/>
                <w:color w:val="auto"/>
                <w:vertAlign w:val="superscript"/>
              </w:rPr>
              <w:t>(13)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Alexandra Balcom</w:t>
            </w:r>
            <w:r>
              <w:rPr>
                <w:rFonts w:ascii="Times New Roman" w:cs="Times New Roman" w:eastAsia="Times New Roman" w:hAnsi="Times New Roman"/>
                <w:sz w:val="23"/>
                <w:szCs w:val="23"/>
                <w:color w:val="auto"/>
                <w:vertAlign w:val="superscript"/>
              </w:rPr>
              <w:t>(14)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Peter Harwin</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5,643,482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David Lubner </w:t>
            </w:r>
            <w:r>
              <w:rPr>
                <w:rFonts w:ascii="Times New Roman" w:cs="Times New Roman" w:eastAsia="Times New Roman" w:hAnsi="Times New Roman"/>
                <w:sz w:val="23"/>
                <w:szCs w:val="23"/>
                <w:color w:val="auto"/>
                <w:vertAlign w:val="superscript"/>
              </w:rPr>
              <w:t>(15)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Susan Moran</w:t>
            </w:r>
            <w:r>
              <w:rPr>
                <w:rFonts w:ascii="Times New Roman" w:cs="Times New Roman" w:eastAsia="Times New Roman" w:hAnsi="Times New Roman"/>
                <w:sz w:val="23"/>
                <w:szCs w:val="23"/>
                <w:color w:val="auto"/>
                <w:vertAlign w:val="superscript"/>
              </w:rPr>
              <w:t>(16)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Jonathan Violin</w:t>
            </w:r>
            <w:r>
              <w:rPr>
                <w:rFonts w:ascii="Times New Roman" w:cs="Times New Roman" w:eastAsia="Times New Roman" w:hAnsi="Times New Roman"/>
                <w:sz w:val="23"/>
                <w:szCs w:val="23"/>
                <w:color w:val="auto"/>
                <w:vertAlign w:val="superscript"/>
              </w:rPr>
              <w:t>(17)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296,301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Jan Pinkas</w:t>
            </w:r>
            <w:r>
              <w:rPr>
                <w:rFonts w:ascii="Times New Roman" w:cs="Times New Roman" w:eastAsia="Times New Roman" w:hAnsi="Times New Roman"/>
                <w:sz w:val="23"/>
                <w:szCs w:val="23"/>
                <w:color w:val="auto"/>
                <w:vertAlign w:val="superscript"/>
              </w:rPr>
              <w:t>(18)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0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(13 persons)</w:t>
            </w:r>
            <w:r>
              <w:rPr>
                <w:rFonts w:ascii="Times New Roman" w:cs="Times New Roman" w:eastAsia="Times New Roman" w:hAnsi="Times New Roman"/>
                <w:sz w:val="23"/>
                <w:szCs w:val="23"/>
                <w:color w:val="auto"/>
                <w:vertAlign w:val="superscript"/>
              </w:rPr>
              <w:t>(19)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8,151,752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1" w:lineRule="exact"/>
        <w:rPr>
          <w:sz w:val="20"/>
          <w:szCs w:val="20"/>
          <w:color w:val="auto"/>
        </w:rPr>
      </w:pPr>
    </w:p>
    <w:p>
      <w:pPr>
        <w:ind w:left="340" w:right="20" w:hanging="332"/>
        <w:spacing w:after="0" w:line="259" w:lineRule="auto"/>
        <w:tabs>
          <w:tab w:leader="none" w:pos="33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2,747,866 Ordinary Shares, (ii) 2,890,000 Ordinary Shares issuable upon conversion of 2,890 shares of Series A non-voting convertible preferred shares, and (iiii) 5,616 ordinary shares underlying warrants, the exercise of which is subject to a beneficial ownership limitation of 9.99% of the outstanding ordinary shares (and excluding 1,762,524 ordinary shares issuable upon exercise of the pre-funded warrants in excess of the beneficial ownership limitation), directly held by Fairmount Healthcare Fund II L.P., or Fund II. The exercise of the pre-funded warrants is subject to a beneficial ownership limitation of 9.99% of the outstanding ordinary shares and the exercise of the Series A Preferred Shares is subject to a beneficial ownership limitation of 19.99%. At such time as Fairmount Funds Management LLC, or Fairmount and its affiliates beneficially own 9.0% or less of the Ordinary Shares, the beneficial ownership limitation with respect to the Series A Preferred Shares will automatically reduce to 9.99%. Fairmount serves as investment manager for Fund II. Fund II has delegated to Fairmount the sole power to vote and the sole power to dispose of all securities held in Fairmount Fund II portfolios. As managers of Fairmount, Peter Harwin and Tomas Kiselak may be deemed to have voting and investment power over the shares held by Fairmount Fund II. Fairmount, Mr. Harwin and Mr. Kiselak disclaim beneficial ownership of such shares, except to the extent of any pecuniary interest therein. The address of the entities and individuals listed is c/o Fairmount Funds Management LLC, 200 Barr Harbor Drive, Suite 400, West Conshohocken, PA 19428.</w:t>
      </w:r>
    </w:p>
    <w:p>
      <w:pPr>
        <w:spacing w:after="0" w:line="164" w:lineRule="exact"/>
        <w:rPr>
          <w:rFonts w:ascii="Times New Roman" w:cs="Times New Roman" w:eastAsia="Times New Roman" w:hAnsi="Times New Roman"/>
          <w:sz w:val="14"/>
          <w:szCs w:val="14"/>
          <w:color w:val="auto"/>
        </w:rPr>
      </w:pPr>
    </w:p>
    <w:p>
      <w:pPr>
        <w:ind w:left="340" w:right="40" w:hanging="332"/>
        <w:spacing w:after="0" w:line="258" w:lineRule="auto"/>
        <w:tabs>
          <w:tab w:leader="none" w:pos="33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3" w:lineRule="exact"/>
        <w:rPr>
          <w:rFonts w:ascii="Times New Roman" w:cs="Times New Roman" w:eastAsia="Times New Roman" w:hAnsi="Times New Roman"/>
          <w:sz w:val="14"/>
          <w:szCs w:val="14"/>
          <w:color w:val="auto"/>
        </w:rPr>
      </w:pPr>
    </w:p>
    <w:p>
      <w:pPr>
        <w:jc w:val="both"/>
        <w:ind w:left="340" w:right="380" w:hanging="332"/>
        <w:spacing w:after="0" w:line="262" w:lineRule="auto"/>
        <w:tabs>
          <w:tab w:leader="none" w:pos="33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(i)(A) 1,482,249 outstanding ordinary shares and (B) 4,619 ordinary shares underlying pre-funded warrants and (C) excluding 299,479 ordinary shares underlying the pre-funded warrants held by Biotechnology Value Fund, L.P., or BVF, (ii)(A) 1,046,530 outstanding ordinary shares and (B) excluding 257,515 ordinary shares underlying the pre-funded warrants held by Biotechnology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5" w:lineRule="exact"/>
        <w:rPr>
          <w:sz w:val="20"/>
          <w:szCs w:val="20"/>
          <w:color w:val="auto"/>
        </w:rPr>
      </w:pPr>
    </w:p>
    <w:p>
      <w:pPr>
        <w:ind w:left="332"/>
        <w:spacing w:after="0" w:line="258" w:lineRule="auto"/>
        <w:rPr>
          <w:sz w:val="20"/>
          <w:szCs w:val="20"/>
          <w:color w:val="auto"/>
        </w:rPr>
      </w:pPr>
      <w:r>
        <w:rPr>
          <w:rFonts w:ascii="Times New Roman" w:cs="Times New Roman" w:eastAsia="Times New Roman" w:hAnsi="Times New Roman"/>
          <w:sz w:val="14"/>
          <w:szCs w:val="14"/>
          <w:color w:val="auto"/>
        </w:rPr>
        <w:t>Fund II, L.P., or BVF2, (iii)(A) 179,935 ordinary shares and (B) excluding 25,944 ordinary shares underlying the pre-funded warrants held by Biotechnology Value Trading Fund OS LP, or Trading Fund OS, (iv)(A) 40,049 ordinary shares and (B) excluding 10,371 ordinary shares underlying the pre-funded warrants held by MSI BVF SPV, LLC, or MSI. The pre-funded warrants are exercisable at any time at an exercise price of $0.001 per share and do not expire. A holder of pre-funded warrants will not have the right to exercise any pre-funded warrants to the extent that immediately prior to or following such exercise, the holder, together with its affiliated entities, would beneficially own in excess of 9.99% of the number of shares outstanding immediately after giving effect to such exercise. BVF, BVF2, Trading Fund OS and MSI are collectively referred to as the BVF Entities. BVF I GP LLC, or BVF GP, as the general partner of BVF, may be deemed to beneficially own the ordinary shares beneficially owned by BVF. BVF II GP LLC, or BVF2 GP, as the general partner of BVF2, may be deemed to beneficially own the ordinary shares beneficially owned by BVF2. BVF Partners OS Ltd., or Partners OS, as the general partner of Trading Fund OS, may be deemed to beneficially own the Ordinary Shares beneficially owned by Trading Fund OS. BVF GP Holdings LLC, or BVF GPH, as the sole member of each of BVF GP and BVF2 GP, may be deemed to beneficially own the ordinary shares beneficially owned in the aggregate by BVF and BVF2. BVF Partners L.P., or Partners, as the investment manager of BVF, BVF2, Trading Fund OS and MSI, and the sole member of Partners OS, may be deemed to beneficially own the ordinary shares beneficially owned in the aggregate by BVF, BVF2, Trading Fund OS and MSI. BVF Inc., as the general partner of Partners, may be deemed to beneficially own the ordinary shares beneficially owned by Partners. Mark Lampert, as a director and officer of BVF Inc., may be deemed to beneficially own the ordinary shares beneficially owned by BVF Inc. Each of BVF GP, BVF2 GP, Partners OS, BVF GPH, Partners and Mark N. Lampert disclaims beneficial ownership of securities beneficially owned by the BVF Entities. The address of each of the entities listed above is 44 Montgomery Street, Suite 4000, San Francisco, CA 94104.</w:t>
      </w:r>
    </w:p>
    <w:p>
      <w:pPr>
        <w:spacing w:after="0" w:line="7" w:lineRule="exact"/>
        <w:rPr>
          <w:sz w:val="20"/>
          <w:szCs w:val="20"/>
          <w:color w:val="auto"/>
        </w:rPr>
      </w:pPr>
    </w:p>
    <w:p>
      <w:pPr>
        <w:ind w:left="332" w:right="20" w:hanging="332"/>
        <w:spacing w:after="0" w:line="260" w:lineRule="auto"/>
        <w:tabs>
          <w:tab w:leader="none" w:pos="3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(A)(i) 400,788 ordinary shares and (ii) 107,374 ordinary shares issuable upon exercise of pre-funded warrants held by Venrock Healthcare Capital Partners III, L.P., or VHCP III; (B)(i) 40,101 ordinary shares and (ii) 10,737 ordinary shares issuable upon exercise of pre-funded warrants held by VHCP Co-Investment Holdings III, LLC, or VHCP Co-Investment III; and (C)(i) 1,692,687 ordinary shares and (ii) 414,377 ordinary shares issuable upon exercise of pre-funded warrants held by Venrock Healthcare Capital Partners EG, L.P., or VHCP EG. The pre-funded warrants contain a provision (the "Beneficial Ownership Blocker"), which precludes the exercise of the warrants to the extent that, following exercise, VHCP III, VHCP Co-</w:t>
      </w:r>
    </w:p>
    <w:p>
      <w:pPr>
        <w:spacing w:after="0" w:line="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Investment III and VHCP EG, together with their affiliates and other attribution parties, would own more than 9.99% of the outstanding Ordinary Shares. VHCP III, VHCP Co-Investment</w:t>
      </w:r>
    </w:p>
    <w:p>
      <w:pPr>
        <w:spacing w:after="0" w:line="4" w:lineRule="exact"/>
        <w:rPr>
          <w:sz w:val="20"/>
          <w:szCs w:val="20"/>
          <w:color w:val="auto"/>
        </w:rPr>
      </w:pPr>
    </w:p>
    <w:p>
      <w:pPr>
        <w:jc w:val="both"/>
        <w:ind w:left="332" w:right="100" w:hanging="8"/>
        <w:spacing w:after="0" w:line="260" w:lineRule="auto"/>
        <w:tabs>
          <w:tab w:leader="none" w:pos="512"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VHCP EG are currently prohibited from exercising the Pre-Funded Warrants to the extent that such exercise would result in beneficial ownership of more than 1,391,196 ordinary shares. VHCP Management III, LLC, or VHCPM is the sole general partner of Venrock Healthcare Capital Partners III, L.P. and the sole manager of VHCP Co-Investment Holdings III, LLC. VHCP Management EG, LLC, or VHCPM EG is the sole general partner of Venrock Healthcare Capital Partners EG, L.P. Dr. Bong Koh and Nimish Shah are the voting members of VHCPM and VHCPM EG. The principal business address of each of these persons and entities is 7 Bryant Park, 23rd Floor, New York, NY 10018.</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ordinary shares held by ForGrowth III PA B.V., or ForGrowth III. Forbion Growth III Management B.V., or Forbion Growth III, is the director of ForGrowth III. Forbion Growth</w:t>
      </w:r>
    </w:p>
    <w:p>
      <w:pPr>
        <w:spacing w:after="0" w:line="4" w:lineRule="exact"/>
        <w:rPr>
          <w:rFonts w:ascii="Times New Roman" w:cs="Times New Roman" w:eastAsia="Times New Roman" w:hAnsi="Times New Roman"/>
          <w:sz w:val="14"/>
          <w:szCs w:val="14"/>
          <w:color w:val="auto"/>
        </w:rPr>
      </w:pPr>
    </w:p>
    <w:p>
      <w:pPr>
        <w:ind w:left="332" w:right="20" w:hanging="8"/>
        <w:spacing w:after="0" w:line="259" w:lineRule="auto"/>
        <w:tabs>
          <w:tab w:leader="none" w:pos="512"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 the sole shareholder of ForGrowth III, and Forbion Growth III, as director of each of ForGrowth III and Forbion Growth III COOP, may be deemed to have voting and investment power over the shares held directly by ForGrowth III. The principal business address of ForGrowth III is c/o Forbion Capital Partners, Gooimeer 2-35, 1411 DC Naarden, The Netherlands.</w:t>
      </w:r>
    </w:p>
    <w:p>
      <w:pPr>
        <w:ind w:left="332" w:right="120" w:hanging="332"/>
        <w:spacing w:after="0" w:line="256" w:lineRule="auto"/>
        <w:tabs>
          <w:tab w:leader="none" w:pos="324"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are held by 1Globe Capital LLC. Jiaqiang Li serves as the Chairman of 1Globe Capital LLC and directly or indirectly exercises voting and dispositive power over the Issuer’s shares held by 1Globe Capital LLC and as such, Mr. Li may be deemed the ultimate beneficial owner of such shares. Each Reporting Person disclaims beneficial ownership of such securities that are not directly owned by such Reporting Person, except to the extent of its or his pecuniary interest therein. The address of 1 Globe Capital LLC is One International Place, 44th Fl, Boston, MA 02110.</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827,122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413,053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260,538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236,787 ordinary shares that are or will be exercisable within 60 days of December 31, 2025.</w:t>
      </w:r>
    </w:p>
    <w:p>
      <w:pPr>
        <w:spacing w:after="0" w:line="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39,480 ordinary shares and (ii) options to purchase 155,234 ordinary shares that are or will be exercisable within 60 days of December 31, 2025.</w:t>
      </w:r>
    </w:p>
    <w:p>
      <w:pPr>
        <w:spacing w:after="0" w:line="1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107,102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109,243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purchase20,164 ordinary shares that are or will be exercisable within 60 days of December 31, 2025.</w:t>
      </w:r>
    </w:p>
    <w:p>
      <w:pPr>
        <w:spacing w:after="0" w:line="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20,164ordinary shares that are or will be exercisable within 60 days of December 31, 2025.</w:t>
      </w:r>
    </w:p>
    <w:p>
      <w:pPr>
        <w:spacing w:after="0" w:line="1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20,164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69,515 ordinary shares and (ii) options to purchase 226,786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2,918 ordinary shares that are or will be exercisable within 60 days of December 31, 2025.</w:t>
      </w:r>
    </w:p>
    <w:p>
      <w:pPr>
        <w:spacing w:after="0" w:line="14" w:lineRule="exact"/>
        <w:rPr>
          <w:rFonts w:ascii="Times New Roman" w:cs="Times New Roman" w:eastAsia="Times New Roman" w:hAnsi="Times New Roman"/>
          <w:sz w:val="14"/>
          <w:szCs w:val="14"/>
          <w:color w:val="auto"/>
        </w:rPr>
      </w:pPr>
    </w:p>
    <w:p>
      <w:pPr>
        <w:ind w:left="332" w:right="460" w:hanging="332"/>
        <w:spacing w:after="0" w:line="263" w:lineRule="auto"/>
        <w:tabs>
          <w:tab w:leader="none" w:pos="329"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2,856,861 ordinary shares; (ii) options to purchase 2,399,275 ordinary shares that are or will be exercisable within 60 days of December 31, 2025; and (iii) holdings as reported in footnote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32"/>
          </w:cols>
          <w:pgMar w:left="328" w:top="1440" w:right="339" w:bottom="1440" w:gutter="0" w:footer="0" w:header="0"/>
        </w:sectPr>
      </w:pPr>
    </w:p>
    <w:bookmarkStart w:id="162" w:name="page163"/>
    <w:bookmarkEnd w:id="16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certain terms and provisions of our ordinary shares following the Redomestication. The following summary does not purport to be complete, and is subject to, and qualified in its entirety by, the Company’s memorandum and articles of association (the “Articles”), the Company’s Certificate of Designation of Preferences, Rights and Limitations of Series A Non-Voting Convertible Preferred Shares (the “Series A Certificate of Designation”), and the Companies Act. Copies of the Articles and Series A Certificate of Designation have been filed and incorporated by reference as exhibits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authorized share capital of the Company under the Articles is US$180,000 divided into 175,000,000 “ordinary shares,” having a par value of US$0.001 per share; and 5,000,000 “preferred shares,” having a par value of US$0.001 per share. Subject to the rights and restrictions of holders of any series of Series A Preferred Shares (as defined below) specified by the Articles or the Series A Certificate of Designation, the Company may increase its authorized share capital through an ordinary resolution (the affirmative vote of a simple majority of the votes cast at a general meeting). See “</w:t>
      </w:r>
      <w:r>
        <w:rPr>
          <w:rFonts w:ascii="Times New Roman" w:cs="Times New Roman" w:eastAsia="Times New Roman" w:hAnsi="Times New Roman"/>
          <w:sz w:val="18"/>
          <w:szCs w:val="18"/>
          <w:i w:val="1"/>
          <w:iCs w:val="1"/>
          <w:color w:val="auto"/>
        </w:rPr>
        <w:t>Preferred Shares</w:t>
      </w:r>
      <w:r>
        <w:rPr>
          <w:rFonts w:ascii="Times New Roman" w:cs="Times New Roman" w:eastAsia="Times New Roman" w:hAnsi="Times New Roman"/>
          <w:sz w:val="18"/>
          <w:szCs w:val="18"/>
          <w:color w:val="auto"/>
        </w:rPr>
        <w:t>” below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ordinary shares will carry the right to receive notice of, to attend and to vote one vote per ordinary share at any Company general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 of Board of Directors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(the “Board”) will be divided into three classes: Class I, Class II and Class III. The Board will be authorized to assign members of the directors already in office to such classes in accordance with a resolution or resolutions adopted by the Board. At each annual general meeting of shareholders, directors shall be elected for a full term of three years to succeed the directors of the particular class whose terms expire at such annual general meeting. Notwithstanding the foregoing provisions of this section, each director shall serve until his or her successor is duly elected and qualified or until his or her earlier death, resignation or removal. The Class I directors shall stand appointed for a term expiring at the Company’s first annual general meeting following the general meeting at which the Articles are adopted, the Class II directors shall stand appointed for a term expiring at the Company’s second annual general meeting following the general meeting at which the Articles are adopted and the Class III directors shall stand appointed for a term expiring at the Company’s third annual general meeting following the general meeting at which the Articles are adopted.</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all times when at least 30% of the originally issued Series A Preferred Shares (as defined below) remains issued and outstanding: (i) the holders of record of the Series A Preferred Shares, exclusively and voting together as a separate class on an as-converted to ordinary shares basis, shall be entitled to elect two directors (“Preferred Directors”); and (ii) the holders of the ordinary shares and of any other class or series of voting shares (including the Series A Preferred Shares), exclusively and voting together as a single class on an as-converted to ordinary shares basis, shall be entitled to elect the balance of the total number of directors of the Company. Each Preferred Director shall be entitled to three votes on each matter presented to the Board.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Company shareholders will not have preemptive rights. Thus, if additional ordinary shares are issued, the current holders of ordinary shares will own a proportionately smaller interest in a larger number of outstanding ordinary shares to the extent that they do not participate in the additional issuance.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Shareholders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Subject to the Companies Act, the Articles and any certificate of designation, and except as otherwise provided by the rights attached to any shares, the directors may resolve to declare dividends (including interim dividends)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other distributions on shares in issue and authorize payment of the dividends or other distributions out of the funds of the Company lawfully available therefor. All dividends shall be declared and paid according to the amounts paid up on the ordinary shares, but if and for so long as nothing is paid up on any of the ordinary shares, dividends may be declared and paid according to the par value of the ordinary shares. Dividends may be paid in cash, in property, or in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ordinary shares will be fully paid and nonassessable. The ordinary shares will not be subject to redemption or sinking fund provisions.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Articles provide that, whenever the capital of the Company is divided into different classes (and as otherwise determined by the board of directors)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simple majority of the issued ordinary or preferred shares of the relevant class, or with the sanction of a resolution passed at a separate meeting of the holders of the ordinary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Articles also provide that the rights conferred upon the holders of the ordinary or preferred shares of any class shall not, unless otherwise expressly provided by the terms of issue of the relevant class, be deemed to be materially adversely varied or abrogated by the creation, allotment or issue of ordinary or preferred shares ranking pari passu with them, subsequent to them, with preferred rights (including enhanced voting rights) or the redemption or purchase of any of the relevant class by the Company.</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Board has designated a series of preferred shares through the Series A Certificate of Designation: Series A Non-Voting Convertible Preferred Shares (the “Series A Preferred Shares”). Except as otherwise provided for in the Articles, the Series A Certificate of Designation or at law, a holder of Series A Preferred Shares will not have voting rights. The Series A Certificate of Designation provides for certain voting rights in relation to the election of directors as discussed under “Ordinary Shares- Structure of Board of Directors”. In addition, as long as any Series A Preferred Shares are issued and outstanding, the Company will not, without the affirmative vote of the Preferred Directors, acting together, or the holders of a simple majority of the then issued and outstanding Series A Preferred Shares: (i) alter or change adversely the powers, preferences or rights given to the Series A Preferred Shares or alter or amend the Series A Certificate of Designation, amend the Articles,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Series A Preferred Shares, regardless of whether any of the foregoing actions will be by means of amendment to the Articles or by merger, consolidation, recapitalization, reclassification, conversion or otherwise, (ii) issue further Series A Preferred Shares or increase or decrease (other than by conversion) the number of authorized Series A Preferred Shares, (iii) at any time while at least 30% of the originally issued Series A Preferred Shares remains issued and outstanding, consummate either: (A) any Fundamental Transaction (as defined in the Series A Certificate of Designation) or (B) any merger or consolidation of the Company or other business combination in which the shareholders of the Company immediately before such transaction do not hold at least a simple majority on an as-converted-to-ordinary shares basis of the share capital of the Company immediately after such transaction, (iv) increase the authorized number of directors constituting the Board or change the number of votes entitled to be cast by any director or directors on any matter or (v) enter into any agreement with respect to any of the foregoing that does not explicitly require the approval contemplated to consummate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provisions of Cayman Islands law and the Articles, which are summarized below, may have the effect of delaying, deferring, or discouraging another person from acquiring control of the Company. They are also designed, in part, to encourage persons seeking to acquire control of the Company to negotiate first with the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Subject to the rights and restrictions of holders of any series of preferred shares to remove directors specified by the Articles or any certificate of designation, any individual director or the Board may only be removed with cause by a special resolution passed by the affirmative vote of not less than two-thirds of the votes cast at a general meeting.</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all times when at least 30% of the originally issued Series A Preferred Shares remains issued and outstanding, any Preferred Director may be removed without cause only by the affirmative vote of the holders of a simple majority of the Series A Preferred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on the Board of Directors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shares, including pursuant to any certificate of designation, 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shareholders as permitted in accordance with the Articles and any certificate of designation, be filled only by the affirmative vote of a simple majority of the voting power of the directors then in office,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3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At all times when at least 30% of the originally issued Series A Preferred Shares remains issued and outstanding, any vacancies of a Preferred Director directorship resulting from death, resignation, disqualification, removal or other causes shall be filled by the affirmative vote of the holders of a simple majority of the Series A Preferred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resolution in writing signed by all the shareholders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Shareholders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meetings of the Company shareholders may be called, for any purpose as is a proper matter for shareholder action under Cayman Islands law, by</w:t>
      </w:r>
    </w:p>
    <w:p>
      <w:pPr>
        <w:spacing w:after="0" w:line="27" w:lineRule="exact"/>
        <w:rPr>
          <w:sz w:val="20"/>
          <w:szCs w:val="20"/>
          <w:color w:val="auto"/>
        </w:rPr>
      </w:pPr>
    </w:p>
    <w:p>
      <w:pPr>
        <w:ind w:right="20" w:firstLine="8"/>
        <w:spacing w:after="0" w:line="260" w:lineRule="auto"/>
        <w:tabs>
          <w:tab w:leader="none" w:pos="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(ii) the chief executive officer, or (iii) the Board pursuant to a resolution adopted by a simple majority of the voting power of the directors present at a meeting of directors or by unanimous written consent of all directors.</w:t>
      </w:r>
    </w:p>
    <w:p>
      <w:pPr>
        <w:spacing w:after="0" w:line="1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shall determine the date, time and place (including any electronic facility), if any, of such general meeting. Upon determination of the date, time and place (including any electronic facility), if any, of the meeting, the Board or secretary shall cause a notice of general meeting to be given to the Company shareholders entitled to vote, in accordance with the Articles. No business may be transacted at such special meeting otherwise than specified in the notice of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80"/>
          </w:cols>
          <w:pgMar w:left="320" w:top="1440" w:right="399" w:bottom="1440" w:gutter="0" w:footer="0" w:header="0"/>
        </w:sectPr>
      </w:pPr>
    </w:p>
    <w:bookmarkStart w:id="165" w:name="page166"/>
    <w:bookmarkEnd w:id="1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Vote for Mergers and Other Corporate Reorganizations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Company requires (i) not less than a two-thirds majority of the votes cast by such shareholders attending and voting in person or, where proxies are allowed, by proxy at a quorate general meeting of the Company or (ii) the written resolution of all shareholders entitled to vote at such general meeting.</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Cayman Islands law, a Cayman Islands exempted company may be acquired through a tender offer by a third party. Where the holders of 90% or more in value of a class of the Company’s shares (excluding any shares already beneficially owned by the offeror) have within four months of the making of an offer accepted an offer for their shares in the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Company’s shares but does not exercise its “squeeze out” right, then the non-accepting shareholders have no statutory right to require the offeror to acquire their shares on the same terms as the original offer.</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Cayman Islands exempted company may also be acquired by a court-approved scheme of arrangement under the Companies Act. A scheme of arrangement with one or more classes of shareholders requires a court order from the Cayman court and the approval of shareholders representing 75% or more by value of the shares of such participating class or series held by the shareholders voting on the scheme of arrangement, in each case at the relevant meeting or meetings. A scheme of arrangement, if authorized by the shareholders of each participating class or series and the court, is binding on all of the shareholders of each participating class or series. Shares held by the acquiring party are effectively excluded from the tally of a vote on the scheme because such shares will be considered to belong to a separate class for the purposes of approving the scheme.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Shareholder Proposals and Director Nominations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Nominations of persons for election to the Board and the proposal of business to be considered by the shareholders may be made at an annual general meeting of shareholders: (i) pursuant to the Company’s notice of meeting of shareholders (with respect to business other than nominations); (ii) brought specifically by or at the direction of the Board; or (iii) by any shareholder of the Company who was a shareholder of record at the time of giving the shareholders’ notice provided for in the Articles below, who is entitled to vote at the meeting and who complied with the notice procedures set forth in Articles. Such notice must be received by the Company not later than the close of business on the ninetieth day and no earlier than the close of business on the one hundred twentieth day prior to the first anniversary of the preceding year’s annual meeting, in the case of an annual meeting nomination, and not later than the close of business on the later of the ninetieth day prior to such meeting or the tenth day following the day on which public announcement is first made of the date of the general meeting and of the nominees proposed by the Board to be elected at such meeting, in the case of a general meeting nomination.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Companies Act does not provide for cumulative voting as a mechanism for electing directors and if a Cayman Islands exempted company wants to allow cumulative voting, it must explicitly set out in its articles of association. The Articles do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Articles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Subject to the Companies Act and the rights attaching to the various classes, including pursuant to any certificate of designation, the Company may at any time and from time to time by special resolution passed by the affirmative vote of not less than two-thirds of the votes cast at a general meeting alter or amend the memorandum of association forming a part of the Articles in whole or in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Shareholder Rights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Certain other provisions of Cayman Islands law and the Articles summarized below also have important effects on the rights of shareholders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Inspection Rights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Appraisal or Dissenter’s Rights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Articles provide that, unless the Company consents in writing to the selection of an alternative forum, the courts of the Cayman Islands shall have exclusive jurisdiction over any claim or dispute arising out of or in connection with the Articles or otherwise related in any way to each member’s shareholding in the Company, including but not limited to: (a) any derivative action or proceeding brought on behalf of the Company; (b) any action asserting a claim of breach of any fiduciary or other duty owed by any current or former director, officer or other employee of the Company to the Company or the members; (c) any action asserting a claim arising pursuant to any provision of the Companies Act, the Articles; or (d) any action asserting a claim against the Company concerning its internal affairs and that each shareholder irrevocably submits to the exclusive jurisdiction of the courts of the Cayman Islands over all such claims or disputes.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Opportunities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Cayman Islands law does not have a codified corporate opportunity doctrine and a director’s obligations in relation to business opportunities are governed by general fiduciary duties which include the duty to act in good faith and in the best interests of the company, the duty to avoid conflicts of interests and a duty to exercise independent judgement and avoid self-dealing. A Cayman Islands director may engage in business activities outside a Cayman Islands exempted company, provided that they have disclosed any personal interest in the opportunity. If the director properly declares their interest at a board meeting, Cayman Islands law generally permits the company to approve the transaction. A director may also vote on resolutions related to such a contract provided the interest has been disclosed.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Derivative Actions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most cases, under Cayman Islands law, the Company will be the proper plaintiff in any claim based on a breach of duty owed to it, and a claim against (for example) the Company’s directors or officers usually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brought by a shareholder. While derivative actions have been brought in the Cayman Islands courts, and the Cayman Islands courts have confirmed the availability for such actions, they are less common relative to similar claims brought in Delaware pursuant to the Delaware law. 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 and Officer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Companies Act does not restrict the authority of a Cayman exempted company to indemnify its directors, officers, employees or agents.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Articles provide that no Indemnified Person (as defined below) shall be liable: (a) for the acts, receipts, neglects, defaults or omissions of any other director or officer or agent of the Company; or (b) for any loss on account of defect of title to any property of the Company; or (c) on account of the insufficiency of any security in or upon which any money of the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Articles provide that, to the fullest extent permitted by law, every director (including any alternate director appointed pursuant to the provisions of the Articles), secretary, assistant secretary, or other officer (but not including the Company’s auditors) and the personal representatives of the same (each an “Indemnified Person”)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shareholder waives any claim or right of action they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willful default or willful neglect which may attach to such director or officer.</w:t>
      </w:r>
    </w:p>
    <w:p>
      <w:pPr>
        <w:spacing w:after="0" w:line="12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Articles or otherwise.</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on any Indemnified Person as set out above will not be exclusive of any other rights that any Indemnified Person may have or hereafter acquire pursuant to an agreement with the Company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Cayman Islands has a different body of securities laws as compared to the United States and provides less protection to investors. Additionally, Cayman Islands companies may not have standing to sue before the Federal courts of the United States.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 serves as the transfer agent and registrar for the Company’s ordinary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ordinary shares are listed on the Nasdaq Capital Market under the symbol “CBIO.” The CUSIP assigned to the Company’s ordinary shares is G2545C104.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80"/>
          </w:cols>
          <w:pgMar w:left="320" w:top="1440" w:right="399" w:bottom="1440" w:gutter="0" w:footer="0" w:header="0"/>
        </w:sectPr>
      </w:pPr>
    </w:p>
    <w:bookmarkStart w:id="169" w:name="page170"/>
    <w:bookmarkEnd w:id="16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prospectus covers the resale or other disposition from time to time by the Selling Securityholders identified in the table below of up to an aggregate of 19,710,257 Ordinary Shares. The Selling Securityholders may from time to time offer and sell any or all of the Ordinary Shares set forth below pursuant to this prospectus and any accompanying prospectus supplement.</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4, 2025, we entered into a Securities Purchase Agreement (the “SPA”), pursuant to which we sold an aggregate of (i) 13,664,251 Ordinary Shares at a purchase price of $13.41 per share (the “Private Placement Shares”) and (ii) pre-funded warrants (the “Private Placement Warrants”) to purchase an aggregate of 131,434 Ordinary Shares (the “Private Placement Warrant Shares”) at a purchase price of $13.409 per Pre-Funded Warrant Share, which represents the per share purchase price of the Private Placement Shares less the $0.001 per share exercise price for each Pre-Funded Warrant Share, for an aggregate purchase price of approximately $185 million (collectively, the “Private Placement”).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prior to the closing of the Private Placement, we previously issued and sold to Fairmount Healthcare Fund II L.P. (“Fairmount”), and, as of immediately prior to the closing of the Private Placement, Fairmount held, (i) 1,387,866 outstanding Ordinary Shares (the “Fairmount Shares”), (ii) pre-funded warrants (the “Fairmount Warrants”) to purchase 1,636,706 Ordinary Shares (the “Fairmount Pre-Funded Warrant Shares”) with an exercise price of $0.001 per Fairmount Pre-Funded Warrant Share, and (iii) Series A preferred shares (the “Fairmount Series A shares”) convertible into 2,890,000 Ordinary Shares (the “Fairmount Series A Conversion Shares”).</w:t>
      </w:r>
    </w:p>
    <w:p>
      <w:pPr>
        <w:spacing w:after="0" w:line="1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prospectus covers the resale or other disposition by the Selling Securityholders or their pledgees, donees, transferees or other successors-in-interest that receive their shares after the date of this prospectus of the total number of (i) Private Placement Shares sold to the Selling Securityholders pursuant to the SPA, (ii) Private Placement Warrant Shares issuable upon the exercise of the Private Placement Warrants sold to the Selling Securityholders pursuant to the SPA, (iii) Fairmount Shares held by Fairmount as of immediately prior to the closing of the Private Placement, (iv) Fairmount Warrant Shares issuable upon the exercise of the Fairmount Warrants held by Fairmount as of immediately prior to the closing of the Private Placement, and (v) Fairmount Series A Conversion Shares issuable upon the conversion of the Fairmount Series A Shares held by Fairmount as of immediately prior to the closing of the Private Placement (collectively, the “Resale Shares”). Throughout this prospectus, when we refer to the “Selling Securityholders,” we are referring to the securityholders listed in the table below. We are registering the Resale Shares to permit the Selling Securityholders and their pledgees, donees, transferees or other successors-in interest that receive their shares after the date of this prospectus to resell or otherwise dispose of the Resale Shares in the manner contemplated under “Plan of Distribution” herein. Except as otherwise disclosed herein (including in the section titled “Certain Relationship and Related Transactions”), the Selling Securityholders do not have, and within the past three years have not had, any position, office or other material relationship with us. The following table sets forth the names of the Selling Securityholders, the number of our Ordinary Shares owned by the Selling Securityholder, the number of Resale Shares that may be offered under this prospectus and the number of our Ordinary Shares that will be owned after this offering by the Selling Securityholders assuming all of the Resale Shares registered for resale hereby are sold. The Selling Securityholders may sell some, all or none of their Resale Shares. We do not know how long the Selling Securityholders will hold the Resale Shares before selling them, and we currently have no agreements, arrangements or understandings with the Selling Securityholders regarding the sale or other disposition of any of the Resale Shares. The Resale Shares covered hereby may be offered from time to time by the Selling Securityholders. The information set forth below is based upon information obtained from the Selling Securityholders and upon information in our possession regarding the issuance of the Resale Shares. The percentages of Ordinary Shares owned after the offering by each Selling Securityholder below are based on 27,556,767 Ordinary Shares outstanding as of December 31, 2025, and, for each Selling Securityholder, assumes the exercise of only the Private Placement Warrants or Fairmount Warrants owned by such Selling Securityholder but not the Private Placement Warrants or Fairmount Warrants, as applicable, owned by any other Selling Securityholder. The numbers of Ordinary Shares beneficially owned before and after the offering presented in the table below do not give effect to any Beneficial Ownership Limitations with respect to the Private Placement Warrants or Fairmount Warrants, as applicable. We have determined beneficial ownership in accordance with the rules and regulations of the SEC and the information is not necessarily indicative of beneficial ownership for any other purpose. Except as indicated by the footnotes below, we believe, based 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furnished to us, that the persons and entities named in the table below have sole voting and sole investment power with respect to all shares that they beneficially own, subject to applicable community property laws.</w:t>
      </w:r>
    </w:p>
    <w:p>
      <w:pPr>
        <w:sectPr>
          <w:pgSz w:w="11900" w:h="16838" w:orient="portrait"/>
          <w:cols w:equalWidth="0" w:num="1">
            <w:col w:w="11220"/>
          </w:cols>
          <w:pgMar w:left="320" w:top="1440" w:right="359" w:bottom="1440" w:gutter="0" w:footer="0" w:header="0"/>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be</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3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of Beneficial Owner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166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Offered Pursuant to the</w:t>
            </w: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214"/>
        </w:trPr>
        <w:tc>
          <w:tcPr>
            <w:tcW w:w="46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72"/>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Fidelity Securities Fund: Fidelity Small Cap Growth Fund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518,531</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405,110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113,421</w:t>
            </w:r>
          </w:p>
        </w:tc>
        <w:tc>
          <w:tcPr>
            <w:tcW w:w="0" w:type="dxa"/>
            <w:vAlign w:val="bottom"/>
          </w:tcPr>
          <w:p>
            <w:pPr>
              <w:spacing w:after="0"/>
              <w:rPr>
                <w:sz w:val="1"/>
                <w:szCs w:val="1"/>
                <w:color w:val="auto"/>
              </w:rPr>
            </w:pPr>
          </w:p>
        </w:tc>
      </w:tr>
      <w:tr>
        <w:trPr>
          <w:trHeight w:val="180"/>
        </w:trPr>
        <w:tc>
          <w:tcPr>
            <w:tcW w:w="4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Fidelity Securities Fund: Fidelity Small Cap Growth K6 Fund</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239,807</w:t>
            </w:r>
          </w:p>
        </w:tc>
        <w:tc>
          <w:tcPr>
            <w:tcW w:w="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37,807</w:t>
            </w:r>
          </w:p>
        </w:tc>
        <w:tc>
          <w:tcPr>
            <w:tcW w:w="0" w:type="dxa"/>
            <w:vAlign w:val="bottom"/>
          </w:tcPr>
          <w:p>
            <w:pPr>
              <w:spacing w:after="0"/>
              <w:rPr>
                <w:sz w:val="1"/>
                <w:szCs w:val="1"/>
                <w:color w:val="auto"/>
              </w:rPr>
            </w:pPr>
          </w:p>
        </w:tc>
      </w:tr>
      <w:tr>
        <w:trPr>
          <w:trHeight w:val="171"/>
        </w:trPr>
        <w:tc>
          <w:tcPr>
            <w:tcW w:w="4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Fidelity Advisor Series VII: Fidelity Advisor Biotechnology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Fund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349,390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251,090</w:t>
            </w:r>
          </w:p>
        </w:tc>
        <w:tc>
          <w:tcPr>
            <w:tcW w:w="0" w:type="dxa"/>
            <w:vAlign w:val="bottom"/>
          </w:tcPr>
          <w:p>
            <w:pPr>
              <w:spacing w:after="0"/>
              <w:rPr>
                <w:sz w:val="1"/>
                <w:szCs w:val="1"/>
                <w:color w:val="auto"/>
              </w:rPr>
            </w:pPr>
          </w:p>
        </w:tc>
      </w:tr>
      <w:tr>
        <w:trPr>
          <w:trHeight w:val="233"/>
        </w:trPr>
        <w:tc>
          <w:tcPr>
            <w:tcW w:w="472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Fidelity Select Portfolios: Biotechnology Portfolio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262,563</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113,421</w:t>
            </w:r>
          </w:p>
        </w:tc>
        <w:tc>
          <w:tcPr>
            <w:tcW w:w="0" w:type="dxa"/>
            <w:vAlign w:val="bottom"/>
          </w:tcPr>
          <w:p>
            <w:pPr>
              <w:spacing w:after="0"/>
              <w:rPr>
                <w:sz w:val="1"/>
                <w:szCs w:val="1"/>
                <w:color w:val="auto"/>
              </w:rPr>
            </w:pPr>
          </w:p>
        </w:tc>
      </w:tr>
      <w:tr>
        <w:trPr>
          <w:trHeight w:val="180"/>
        </w:trPr>
        <w:tc>
          <w:tcPr>
            <w:tcW w:w="4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Fidelity Mt. Vernon Street Trust: Fidelity Series Growth</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20" w:type="dxa"/>
            <w:vAlign w:val="bottom"/>
            <w:gridSpan w:val="2"/>
          </w:tcPr>
          <w:p>
            <w:pPr>
              <w:ind w:left="180"/>
              <w:spacing w:after="0" w:line="239" w:lineRule="exact"/>
              <w:rPr>
                <w:sz w:val="20"/>
                <w:szCs w:val="20"/>
                <w:color w:val="auto"/>
              </w:rPr>
            </w:pPr>
            <w:r>
              <w:rPr>
                <w:rFonts w:ascii="Times New Roman" w:cs="Times New Roman" w:eastAsia="Times New Roman" w:hAnsi="Times New Roman"/>
                <w:sz w:val="18"/>
                <w:szCs w:val="18"/>
                <w:color w:val="auto"/>
              </w:rPr>
              <w:t xml:space="preserve">Company Fund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0" w:type="dxa"/>
            <w:vAlign w:val="bottom"/>
          </w:tcPr>
          <w:p>
            <w:pPr>
              <w:spacing w:after="0"/>
              <w:rPr>
                <w:sz w:val="1"/>
                <w:szCs w:val="1"/>
                <w:color w:val="auto"/>
              </w:rPr>
            </w:pPr>
          </w:p>
        </w:tc>
      </w:tr>
      <w:tr>
        <w:trPr>
          <w:trHeight w:val="180"/>
        </w:trPr>
        <w:tc>
          <w:tcPr>
            <w:tcW w:w="4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Fidelity Mt. Vernon Street Trust: Fidelity Growth Company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Fund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939,518</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646,839</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292,679</w:t>
            </w:r>
          </w:p>
        </w:tc>
        <w:tc>
          <w:tcPr>
            <w:tcW w:w="0" w:type="dxa"/>
            <w:vAlign w:val="bottom"/>
          </w:tcPr>
          <w:p>
            <w:pPr>
              <w:spacing w:after="0"/>
              <w:rPr>
                <w:sz w:val="1"/>
                <w:szCs w:val="1"/>
                <w:color w:val="auto"/>
              </w:rPr>
            </w:pPr>
          </w:p>
        </w:tc>
      </w:tr>
      <w:tr>
        <w:trPr>
          <w:trHeight w:val="233"/>
        </w:trPr>
        <w:tc>
          <w:tcPr>
            <w:tcW w:w="472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Fidelity Growth Company Commingled Pool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1,296,892</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866,126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430,766</w:t>
            </w:r>
          </w:p>
        </w:tc>
        <w:tc>
          <w:tcPr>
            <w:tcW w:w="0" w:type="dxa"/>
            <w:vAlign w:val="bottom"/>
          </w:tcPr>
          <w:p>
            <w:pPr>
              <w:spacing w:after="0"/>
              <w:rPr>
                <w:sz w:val="1"/>
                <w:szCs w:val="1"/>
                <w:color w:val="auto"/>
              </w:rPr>
            </w:pPr>
          </w:p>
        </w:tc>
      </w:tr>
      <w:tr>
        <w:trPr>
          <w:trHeight w:val="180"/>
        </w:trPr>
        <w:tc>
          <w:tcPr>
            <w:tcW w:w="4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Fidelity Mt. Vernon Street Trust: Fidelity Growth Company K6</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Fund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291,928</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186,117</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105,811</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ADAR1 </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606,000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Biotechnology Value Fund </w:t>
            </w:r>
            <w:r>
              <w:rPr>
                <w:rFonts w:ascii="Times New Roman" w:cs="Times New Roman" w:eastAsia="Times New Roman" w:hAnsi="Times New Roman"/>
                <w:sz w:val="23"/>
                <w:szCs w:val="23"/>
                <w:color w:val="auto"/>
                <w:vertAlign w:val="superscript"/>
              </w:rPr>
              <w:t>(4)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3,346,691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1,985,791</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Burkehill Global Management, LP </w:t>
            </w:r>
            <w:r>
              <w:rPr>
                <w:rFonts w:ascii="Times New Roman" w:cs="Times New Roman" w:eastAsia="Times New Roman" w:hAnsi="Times New Roman"/>
                <w:sz w:val="23"/>
                <w:szCs w:val="23"/>
                <w:color w:val="auto"/>
                <w:vertAlign w:val="superscript"/>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Monashee </w:t>
            </w:r>
            <w:r>
              <w:rPr>
                <w:rFonts w:ascii="Times New Roman" w:cs="Times New Roman" w:eastAsia="Times New Roman" w:hAnsi="Times New Roman"/>
                <w:sz w:val="23"/>
                <w:szCs w:val="23"/>
                <w:color w:val="auto"/>
                <w:vertAlign w:val="superscript"/>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NEXTBio Funds </w:t>
            </w:r>
            <w:r>
              <w:rPr>
                <w:rFonts w:ascii="Times New Roman" w:cs="Times New Roman" w:eastAsia="Times New Roman" w:hAnsi="Times New Roman"/>
                <w:sz w:val="23"/>
                <w:szCs w:val="23"/>
                <w:color w:val="auto"/>
                <w:vertAlign w:val="superscript"/>
              </w:rPr>
              <w:t>(7)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372,856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372,856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RTW Investments, LP </w:t>
            </w:r>
            <w:r>
              <w:rPr>
                <w:rFonts w:ascii="Times New Roman" w:cs="Times New Roman" w:eastAsia="Times New Roman" w:hAnsi="Times New Roman"/>
                <w:sz w:val="23"/>
                <w:szCs w:val="23"/>
                <w:color w:val="auto"/>
                <w:vertAlign w:val="superscript"/>
              </w:rPr>
              <w:t>(8)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372,856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372,856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472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Entities associated with SilverArc Capital Alpha Fund </w:t>
            </w:r>
            <w:r>
              <w:rPr>
                <w:rFonts w:ascii="Times New Roman" w:cs="Times New Roman" w:eastAsia="Times New Roman" w:hAnsi="Times New Roman"/>
                <w:sz w:val="23"/>
                <w:szCs w:val="23"/>
                <w:color w:val="auto"/>
                <w:vertAlign w:val="superscript"/>
              </w:rPr>
              <w:t>(9)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Entities associated with Venrock Healthcare Capital Partners</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2,666,064</w:t>
            </w:r>
          </w:p>
        </w:tc>
        <w:tc>
          <w:tcPr>
            <w:tcW w:w="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745,712</w:t>
            </w:r>
          </w:p>
        </w:tc>
        <w:tc>
          <w:tcPr>
            <w:tcW w:w="1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1,920,352</w:t>
            </w:r>
          </w:p>
        </w:tc>
        <w:tc>
          <w:tcPr>
            <w:tcW w:w="0" w:type="dxa"/>
            <w:vAlign w:val="bottom"/>
          </w:tcPr>
          <w:p>
            <w:pPr>
              <w:spacing w:after="0"/>
              <w:rPr>
                <w:sz w:val="1"/>
                <w:szCs w:val="1"/>
                <w:color w:val="auto"/>
              </w:rPr>
            </w:pPr>
          </w:p>
        </w:tc>
      </w:tr>
      <w:tr>
        <w:trPr>
          <w:trHeight w:val="175"/>
        </w:trPr>
        <w:tc>
          <w:tcPr>
            <w:tcW w:w="4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Vestal Point Capital, LP </w:t>
            </w:r>
            <w:r>
              <w:rPr>
                <w:rFonts w:ascii="Times New Roman" w:cs="Times New Roman" w:eastAsia="Times New Roman" w:hAnsi="Times New Roman"/>
                <w:sz w:val="23"/>
                <w:szCs w:val="23"/>
                <w:color w:val="auto"/>
                <w:vertAlign w:val="superscript"/>
              </w:rPr>
              <w:t>(11)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associated with Wellington </w:t>
            </w:r>
            <w:r>
              <w:rPr>
                <w:rFonts w:ascii="Times New Roman" w:cs="Times New Roman" w:eastAsia="Times New Roman" w:hAnsi="Times New Roman"/>
                <w:sz w:val="23"/>
                <w:szCs w:val="23"/>
                <w:color w:val="auto"/>
                <w:vertAlign w:val="superscript"/>
              </w:rPr>
              <w:t>(12)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143,412</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143,412</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Alyeska Master Fund, L.P. </w:t>
            </w:r>
            <w:r>
              <w:rPr>
                <w:rFonts w:ascii="Times New Roman" w:cs="Times New Roman" w:eastAsia="Times New Roman" w:hAnsi="Times New Roman"/>
                <w:sz w:val="23"/>
                <w:szCs w:val="23"/>
                <w:color w:val="auto"/>
                <w:vertAlign w:val="superscript"/>
              </w:rPr>
              <w:t>(13)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Atlas Private Holdings (Cayman) Ltd. </w:t>
            </w:r>
            <w:r>
              <w:rPr>
                <w:rFonts w:ascii="Times New Roman" w:cs="Times New Roman" w:eastAsia="Times New Roman" w:hAnsi="Times New Roman"/>
                <w:sz w:val="23"/>
                <w:szCs w:val="23"/>
                <w:color w:val="auto"/>
                <w:vertAlign w:val="superscript"/>
              </w:rPr>
              <w:t>(14)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23"/>
                <w:szCs w:val="23"/>
                <w:color w:val="auto"/>
                <w:vertAlign w:val="superscript"/>
              </w:rPr>
              <w:t>(15)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Fairmount Healthcare Fund II, L.P. </w:t>
            </w:r>
            <w:r>
              <w:rPr>
                <w:rFonts w:ascii="Times New Roman" w:cs="Times New Roman" w:eastAsia="Times New Roman" w:hAnsi="Times New Roman"/>
                <w:sz w:val="23"/>
                <w:szCs w:val="23"/>
                <w:color w:val="auto"/>
                <w:vertAlign w:val="superscript"/>
              </w:rPr>
              <w:t>(16)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7,406,006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7,406,006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ForGrowth III PA B.V. </w:t>
            </w:r>
            <w:r>
              <w:rPr>
                <w:rFonts w:ascii="Times New Roman" w:cs="Times New Roman" w:eastAsia="Times New Roman" w:hAnsi="Times New Roman"/>
                <w:sz w:val="23"/>
                <w:szCs w:val="23"/>
                <w:color w:val="auto"/>
                <w:vertAlign w:val="superscript"/>
              </w:rPr>
              <w:t>(17)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1,677,852</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1,677,852</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Opaleye, L.P. </w:t>
            </w:r>
            <w:r>
              <w:rPr>
                <w:rFonts w:ascii="Times New Roman" w:cs="Times New Roman" w:eastAsia="Times New Roman" w:hAnsi="Times New Roman"/>
                <w:sz w:val="23"/>
                <w:szCs w:val="23"/>
                <w:color w:val="auto"/>
                <w:vertAlign w:val="superscript"/>
              </w:rPr>
              <w:t>(18)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1,170,613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Point72 Associates, LLC </w:t>
            </w:r>
            <w:r>
              <w:rPr>
                <w:rFonts w:ascii="Times New Roman" w:cs="Times New Roman" w:eastAsia="Times New Roman" w:hAnsi="Times New Roman"/>
                <w:sz w:val="23"/>
                <w:szCs w:val="23"/>
                <w:color w:val="auto"/>
                <w:vertAlign w:val="superscript"/>
              </w:rPr>
              <w:t>(19)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Woodline Master Fund LP </w:t>
            </w:r>
            <w:r>
              <w:rPr>
                <w:rFonts w:ascii="Times New Roman" w:cs="Times New Roman" w:eastAsia="Times New Roman" w:hAnsi="Times New Roman"/>
                <w:sz w:val="23"/>
                <w:szCs w:val="23"/>
                <w:color w:val="auto"/>
                <w:vertAlign w:val="superscript"/>
              </w:rPr>
              <w:t>(20)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-4680585</wp:posOffset>
            </wp:positionV>
            <wp:extent cx="713232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-4234815</wp:posOffset>
            </wp:positionV>
            <wp:extent cx="7132320"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-3703320</wp:posOffset>
            </wp:positionV>
            <wp:extent cx="711517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-3257550</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-2897505</wp:posOffset>
            </wp:positionV>
            <wp:extent cx="71323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-2537460</wp:posOffset>
            </wp:positionV>
            <wp:extent cx="71323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-1414780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-1054735</wp:posOffset>
            </wp:positionV>
            <wp:extent cx="71323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-5092065</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Percentage of Ordinary</w:t>
      </w:r>
    </w:p>
    <w:p>
      <w:pPr>
        <w:ind w:left="140"/>
        <w:spacing w:after="0" w:line="209" w:lineRule="auto"/>
        <w:rPr>
          <w:sz w:val="20"/>
          <w:szCs w:val="20"/>
          <w:color w:val="auto"/>
        </w:rPr>
      </w:pPr>
      <w:r>
        <w:rPr>
          <w:rFonts w:ascii="Times New Roman" w:cs="Times New Roman" w:eastAsia="Times New Roman" w:hAnsi="Times New Roman"/>
          <w:sz w:val="14"/>
          <w:szCs w:val="14"/>
          <w:b w:val="1"/>
          <w:bCs w:val="1"/>
          <w:color w:val="auto"/>
        </w:rPr>
        <w:t>Shares Beneficially</w:t>
      </w:r>
    </w:p>
    <w:p>
      <w:pPr>
        <w:jc w:val="center"/>
        <w:ind w:right="40"/>
        <w:spacing w:after="0" w:line="221" w:lineRule="auto"/>
        <w:rPr>
          <w:sz w:val="20"/>
          <w:szCs w:val="20"/>
          <w:color w:val="auto"/>
        </w:rPr>
      </w:pPr>
      <w:r>
        <w:rPr>
          <w:rFonts w:ascii="Times New Roman" w:cs="Times New Roman" w:eastAsia="Times New Roman" w:hAnsi="Times New Roman"/>
          <w:sz w:val="14"/>
          <w:szCs w:val="14"/>
          <w:b w:val="1"/>
          <w:bCs w:val="1"/>
          <w:color w:val="auto"/>
        </w:rPr>
        <w:t>Owned After this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Offering</w:t>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43180</wp:posOffset>
            </wp:positionV>
            <wp:extent cx="1714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17970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1.6 %</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7.1 %</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6.8 %</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4" w:lineRule="exact"/>
        <w:rPr>
          <w:sz w:val="20"/>
          <w:szCs w:val="20"/>
          <w:color w:val="auto"/>
        </w:rPr>
      </w:pPr>
    </w:p>
    <w:p>
      <w:pPr>
        <w:sectPr>
          <w:pgSz w:w="11900" w:h="16838" w:orient="portrait"/>
          <w:cols w:equalWidth="0" w:num="2">
            <w:col w:w="9580" w:space="160"/>
            <w:col w:w="148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1" w:lineRule="exact"/>
        <w:rPr>
          <w:sz w:val="20"/>
          <w:szCs w:val="20"/>
          <w:color w:val="auto"/>
        </w:rPr>
      </w:pPr>
    </w:p>
    <w:p>
      <w:pPr>
        <w:ind w:left="340" w:right="60" w:hanging="332"/>
        <w:spacing w:after="0" w:line="283"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our knowledge, unless otherwise indicated, all persons named in the table above have sole voting and investment power with respect to their Ordinary Shares, unless indicated otherwise in a footnote. Unless an address is provided below, the address for the holder is 300 Fifth Avenue, Waltham, MA 02451.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20"/>
          </w:cols>
          <w:pgMar w:left="320" w:top="1440" w:right="359" w:bottom="1440" w:gutter="0" w:footer="0" w:header="0"/>
          <w:type w:val="continuous"/>
        </w:sectPr>
      </w:pPr>
    </w:p>
    <w:bookmarkStart w:id="171" w:name="page172"/>
    <w:bookmarkEnd w:id="171"/>
    <w:p>
      <w:pPr>
        <w:spacing w:after="0" w:line="135" w:lineRule="exact"/>
        <w:rPr>
          <w:sz w:val="20"/>
          <w:szCs w:val="20"/>
          <w:color w:val="auto"/>
        </w:rPr>
      </w:pPr>
    </w:p>
    <w:p>
      <w:pPr>
        <w:ind w:left="332" w:right="60" w:hanging="332"/>
        <w:spacing w:after="0" w:line="261"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 w:lineRule="exact"/>
        <w:rPr>
          <w:rFonts w:ascii="Times New Roman" w:cs="Times New Roman" w:eastAsia="Times New Roman" w:hAnsi="Times New Roman"/>
          <w:sz w:val="14"/>
          <w:szCs w:val="14"/>
          <w:color w:val="auto"/>
        </w:rPr>
      </w:pPr>
    </w:p>
    <w:p>
      <w:pPr>
        <w:ind w:left="332" w:right="140" w:hanging="332"/>
        <w:spacing w:after="0" w:line="256"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81,810 Ordinary Shares held by Spearhead Insurance Solutions IDF, LLC – Series ADAR1, or Spearhead and (ii) 524,190 Ordinary Shares held by ADAR1 Partners, LP, or ADAR1 Partners. ADAR1 Capital Management, LLC, or ADAR1 Capital Management, acts as sub-adviser to, and manages investment accounts of Spearhead. ADAR1 Capital Management acts as an investment adviser to, and manages investment accounts of, the ADAR1 Partners. ADAR1 Capital Management GP, LLC, or ADAR1 General Partner, acts as the general partner of ADAR1 Partners. Daniel Pawel Schneeberger is the Manager of ADAR1 Capital Management and ADAR1 General Partner and may be deemed to beneficially own securities held by Spearhead and ADAR1 Partners. Mr. Schneeberger disclaims beneficial ownership of such securities, except to the extent of his pecuniary interest therein. The business address of Spearhead is 3828 Kennett Pike, Suite 202, Greenville, Delaware 19807. The business address of ADAR1 Partners is 3503 Wild Cherry Drive, Building 9, Austin, Texas 78738.</w:t>
      </w:r>
    </w:p>
    <w:p>
      <w:pPr>
        <w:spacing w:after="0" w:line="2" w:lineRule="exact"/>
        <w:rPr>
          <w:rFonts w:ascii="Times New Roman" w:cs="Times New Roman" w:eastAsia="Times New Roman" w:hAnsi="Times New Roman"/>
          <w:sz w:val="14"/>
          <w:szCs w:val="14"/>
          <w:color w:val="auto"/>
        </w:rPr>
      </w:pPr>
    </w:p>
    <w:p>
      <w:pPr>
        <w:ind w:left="332" w:hanging="332"/>
        <w:spacing w:after="0" w:line="258"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(i)(A) 1,482,249 outstanding Ordinary Shares and (B) 304,098 Ordinary Shares underlying the Pre-Funded Warrants held by Biotechnology Value Fund, L.P., or BVF, (ii)(A) 1,046,530 outstanding Ordinary Shares and (B) 257,515 Shares underlying the Pre-Funded Warrants held by Biotechnology Value Fund II, L.P., or BVF2, (iii)(A) 179,935 Ordinary Shares and (B) 25,944 Shares underlying the Pre-Funded Warrants held by Biotechnology Value Trading Fund OS LP, or Trading Fund OS, (iv)(A) 40,049 outstanding Ordinary Shares and (B) 10,371 Ordinary Shares underlying the Pre-Funded Warrants held by MSI BVF SPV, LLC, or MSI. BVF, BVF2, Trading Fund OS and MSI are collectively referred to as the BVF Entities. BVF I GP LLC, or BVF GP, as the general partner of BVF, may be deemed to beneficially own the Ordinary Shares beneficially owned by BVF. BVF II GP LLC, or BVF2 GP, as the general partner of BVF2, may be deemed to beneficially own the Ordinary Shares beneficially owned by BVF2. BVF Partners OS Ltd., or Partners OS, as the general partner of Trading Fund OS, may be deemed to beneficially own the Ordinary Shares beneficially owned by Trading Fund OS. BVF GP Holdings LLC, or BVF GPH, as the sole member of each of BVF GP and BVF2 GP, may be deemed to beneficially own the Ordinary Shares beneficially owned in the aggregate by BVF and BVF2. BVF Partners L.P., or Partners, as the investment manager of BVF, BVF2, Trading Fund OS and MSI, and the sole member of Partners OS, may be deemed to beneficially own the Ordinary Shares beneficially owned in the aggregate by BVF, BVF2, Trading Fund OS and MSI. BVF Inc., as the general partner of Partners, may be deemed to beneficially own the Ordinary Shares beneficially owned by Partners. Mark Lampert, as a director and officer of BVF Inc., may be deemed to beneficially own the Ordinary Shares beneficially owned by BVF Inc. Each of BVF GP, BVF2 GP, Partners OS, BVF GPH, Partners and Mark N. Lampert disclaims beneficial ownership of securities beneficially owned by the BVF Entities. The address of each of the entities listed above is 44 Montgomery Street, Suite 4000, San Francisco, CA 94104.</w:t>
      </w:r>
    </w:p>
    <w:p>
      <w:pPr>
        <w:spacing w:after="0" w:line="1" w:lineRule="exact"/>
        <w:rPr>
          <w:rFonts w:ascii="Times New Roman" w:cs="Times New Roman" w:eastAsia="Times New Roman" w:hAnsi="Times New Roman"/>
          <w:sz w:val="14"/>
          <w:szCs w:val="14"/>
          <w:color w:val="auto"/>
        </w:rPr>
      </w:pPr>
    </w:p>
    <w:p>
      <w:pPr>
        <w:ind w:left="332" w:right="40" w:hanging="332"/>
        <w:spacing w:after="0" w:line="256"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Ordinary Shares held by Burkehill Fund Ltd, a Cayman Islands exempted company, or Arleigh Fund and (ii) Ordinary Shares held by Burkehill Master Fund LP, a Cayman Island exempted limited partnership, or Admiral Fund and, together with the Arleigh Fund, the Burkehill Funds. Burkehill Global Management, LP, or Burkehill, serves as investment manager to each of the Burkehill Funds. As such, Burkehill has been granted investment discretion over the Ordinary Shares owned by the Burkehill Funds. Christopher Rich serves as Managing Partner of Burkehill, the Managing Member of Burkehill Global LLC, or Burkehill GP, the general partner of Burkehill, and the Managing Member of Burkehill Fund GP LLC, or Burkehill Fund GP, the general partner of the Admiral Fund. Each of Burkehill, Burkehill GP, Burkehill Fund GP and Mr. Rich disclaim beneficial ownership of the Ordinary Shares held by the Burkehill Funds except to the extent of their or its pecuniary interest therein. The address for the Burkehill Funds is c/o Burkehill Global Management, LP, 280 Park Avenue, New York, New York 10017.</w:t>
      </w:r>
    </w:p>
    <w:p>
      <w:pPr>
        <w:spacing w:after="0" w:line="2" w:lineRule="exact"/>
        <w:rPr>
          <w:rFonts w:ascii="Times New Roman" w:cs="Times New Roman" w:eastAsia="Times New Roman" w:hAnsi="Times New Roman"/>
          <w:sz w:val="14"/>
          <w:szCs w:val="14"/>
          <w:color w:val="auto"/>
        </w:rPr>
      </w:pPr>
    </w:p>
    <w:p>
      <w:pPr>
        <w:ind w:left="332" w:right="80" w:hanging="332"/>
        <w:spacing w:after="0" w:line="258"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21,519 Ordinary Shares held by BEMAP Master Fund Ltd, or BEMAP, (ii) 25,822 Ordinary Shares held by HIF Solitude Ltd, or HIF, (iii) 25,822 Ordinary Shares held by Blackstone CSP-MST FMAP Fund, or FMAP, (iv) 11,700 Ordinary Shares held by Mission Pure Alpha Master LP, or Mission and (v) 25,898 Ordinary Shares held by Monashee Pure Alpha SPV I LP, or Pure Alpha. BEMAP, HIF, Mission, FMAP and Pure Alpha are managed by Monashee Investment Management, LLC, or Monashee Management. Jeff Muller is CCO of Monashee Management and has voting and investment control over Monashee Management and, accordingly, may be deemed to have beneficial ownership of the shares held by BEMAP, Pure Alpha, Mission and FMAP. Jeff Muller, however, disclaims any beneficial ownership of the shares held by these entities. The address of BEMAP, Pure Alpha, Mission, FMAP and Mr. Muller is c/o Monashee Investment Management, LLC, 75 Park Plaza, 4th Floor, Boston, Massachusetts 02116.</w:t>
      </w:r>
    </w:p>
    <w:p>
      <w:pPr>
        <w:ind w:left="332" w:right="140" w:hanging="332"/>
        <w:spacing w:after="0" w:line="258"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186,428 Ordinary Shares held by NEXTBio Master Fund LP and (ii) 186,428 Ordinary Shares held by NEXTBio Evergreen LLC, collectively the NEXTBio Funds. NEXTBio Capital Management LP (“NEXTBio”) is the management company and investment advisor to the NEXTBio Funds. NEXTBio Capital Management (GP) LLC (“NEXTBio GP”) is the sole general partner of NEXTBio. Hongbo Lu and Richard Klemm are managing members of NEXTBio GP, which may be deemed to be beneficial owners of the securities directly held by the NEXTBio Funds. Each such person or entity, as the case may be, disclaims beneficial ownership of all securities held by the NEXTBio Funds, except to the extent of their respective pecuniary interest therein. The address of the individuals and entities referenced in this footnote is 3000 Sand Hill Road, Suite 3-210, Menlo Park, California 94025.</w:t>
      </w:r>
    </w:p>
    <w:p>
      <w:pPr>
        <w:spacing w:after="0" w:line="1" w:lineRule="exact"/>
        <w:rPr>
          <w:rFonts w:ascii="Times New Roman" w:cs="Times New Roman" w:eastAsia="Times New Roman" w:hAnsi="Times New Roman"/>
          <w:sz w:val="14"/>
          <w:szCs w:val="14"/>
          <w:color w:val="auto"/>
        </w:rPr>
      </w:pPr>
    </w:p>
    <w:p>
      <w:pPr>
        <w:ind w:left="332" w:right="120" w:hanging="332"/>
        <w:spacing w:after="0" w:line="262"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194,488 Ordinary Shares held by RTW Master Fund, Ltd., (ii) 162,822 Ordinary Shares held by RTW Innovation Master Fund, Ltd. and (iii) 15,546 Ordinary Shares held by RTW Biotech Opportunities Operating Ltd, collectively, the RTW Funds. RTW Investments, LP, or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92"/>
          </w:cols>
          <w:pgMar w:left="328" w:top="1440" w:right="379" w:bottom="1440" w:gutter="0" w:footer="0" w:header="0"/>
        </w:sectPr>
      </w:pPr>
    </w:p>
    <w:bookmarkStart w:id="172" w:name="page173"/>
    <w:bookmarkEnd w:id="172"/>
    <w:p>
      <w:pPr>
        <w:spacing w:after="0" w:line="135" w:lineRule="exact"/>
        <w:rPr>
          <w:sz w:val="20"/>
          <w:szCs w:val="20"/>
          <w:color w:val="auto"/>
        </w:rPr>
      </w:pPr>
    </w:p>
    <w:p>
      <w:pPr>
        <w:ind w:left="332" w:right="80"/>
        <w:spacing w:after="0" w:line="262" w:lineRule="auto"/>
        <w:rPr>
          <w:sz w:val="20"/>
          <w:szCs w:val="20"/>
          <w:color w:val="auto"/>
        </w:rPr>
      </w:pPr>
      <w:r>
        <w:rPr>
          <w:rFonts w:ascii="Times New Roman" w:cs="Times New Roman" w:eastAsia="Times New Roman" w:hAnsi="Times New Roman"/>
          <w:sz w:val="14"/>
          <w:szCs w:val="14"/>
          <w:color w:val="auto"/>
        </w:rPr>
        <w:t>RTW, has the power to direct the vote and disposition of the securities held by RTW.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w:t>
      </w:r>
    </w:p>
    <w:p>
      <w:pPr>
        <w:spacing w:after="0" w:line="2" w:lineRule="exact"/>
        <w:rPr>
          <w:sz w:val="20"/>
          <w:szCs w:val="20"/>
          <w:color w:val="auto"/>
        </w:rPr>
      </w:pPr>
    </w:p>
    <w:p>
      <w:pPr>
        <w:ind w:left="332" w:right="120" w:hanging="332"/>
        <w:spacing w:after="0" w:line="257" w:lineRule="auto"/>
        <w:tabs>
          <w:tab w:leader="none" w:pos="32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4,550 Ordinary Shared held by SilverArc Capital Alpha Fund I, LP and (ii) 125,950 Ordinary Shares held by SilverArc Capital Alpha Fund II, LP. SilverArc Capital Management, LLC is the controlling entity of SilverArc Capital Alpha Fund I, LP and SilverArc Capital Alpha Fund II, LP and is solely owned by Devesh Gandhi. Mr. Gandhi may be deemed to have shared voting and investment power of the securities managed by SilverArc Capital Management, LLC. Mr. Gandhi disclaims beneficial ownership of such securities, except to the extent of his pecuniary interest therein. The address of SilverArc Capital Alpha Fund I, LP and SilverArc Capital Alpha Fund II, LP are 20 Park Plaza, 4th Floor, Boston, MA 02116.</w:t>
      </w:r>
    </w:p>
    <w:p>
      <w:pPr>
        <w:spacing w:after="0" w:line="2"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(A)(i) 400,788 Ordinary Shares and (ii) 107,374 Ordinary Shares issuable upon exercise of Pre-Funded Warrants held by Venrock Healthcare Capital Partners III, L.P., or VHCP III; (B)(i) 40,101 Ordinary Shares and (ii) 10,737 Ordinary Shares issuable upon exercise of Pre-Funded Warrants held by VHCP Co-Investment Holdings III, LLC, or VHCP Co-Investment III; and (C)(i) 1,692,687 Ordinary Shares and (ii) 414,377 Ordinary Shares issuable upon exercise of Pre-Funded Warrants held by Venrock Healthcare Capital Partners EG, L.P., or VHCP EG. The Pre-Funded Warrants contain a provision (the "Beneficial Ownership Blocker"), which precludes the exercise of the Warrants to the extent that, following exercise, VHCP III, VHCP Co-Investment III and VHCP EG, together with their affiliates and other attribution parties, would own more than 9.99% of the outstanding Ordinary Shares. VHCP III, VHCP Co-Investment III and VHCP EG are currently prohibited from exercising the Pre-Funded Warrants to the extent that such exercise would result in beneficial ownership of more than 1,391,196 ordinary shares. VHCP Management III, LLC, or VHCPM is the sole general partner of Venrock Healthcare Capital Partners III, L.P. and the sole manager of VHCP Co-Investment Holdings III, LLC. VHCP Management EG, LLC, or VHCPM EG is the sole general partner of Venrock Healthcare Capital Partners EG, L.P. Dr. Bong Koh and Nimish Shah are the voting members of VHCPM and VHCPM EG. The principal business address of each of these persons and entities is 7 Bryant Park, 23rd Floor, New York, NY 10018.</w:t>
      </w:r>
    </w:p>
    <w:p>
      <w:pPr>
        <w:spacing w:after="0" w:line="4"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3"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660,234 Ordinary Shares held by Vestal Point Master Fund, LP, or Vestal Point Master Fund, and (ii) 639,766 Ordinary Shares held by accounts separately managed by Vestal Point Capital, LP, or Vestal Point Capital. The sole general partner of Vestal Point Master Fund, LP is Vestal Point Partners GP, LLC. The managing member of Vestal Point Partners GP, LLC is Ryan Wilder. The sole general partner of Vestal Point Capital, LP is Vestal Point Capital, LLC. The managing member of Vestal Point Capital, LLC is Mr. Wilder. As a result, Mr. Wilder may be deemed to have voting and investment power over the securities held by Vestal Point Master Fund, LP and the accounts separately managed by Vestal Point Capital, LP. Mr. Wilder disclaims beneficial ownership of such securities, except to the extent of his pecuniary interest therein. The address of the foregoing entities and Mr. Wilder is c/o Vestal Point Capital, LP, 632 Broadway, Suite 602, New York, NY 10012.</w:t>
      </w:r>
    </w:p>
    <w:p>
      <w:pPr>
        <w:spacing w:after="0" w:line="1" w:lineRule="exact"/>
        <w:rPr>
          <w:rFonts w:ascii="Times New Roman" w:cs="Times New Roman" w:eastAsia="Times New Roman" w:hAnsi="Times New Roman"/>
          <w:sz w:val="14"/>
          <w:szCs w:val="14"/>
          <w:color w:val="auto"/>
        </w:rPr>
      </w:pPr>
    </w:p>
    <w:p>
      <w:pPr>
        <w:ind w:left="332" w:right="60" w:hanging="332"/>
        <w:spacing w:after="0" w:line="259" w:lineRule="auto"/>
        <w:tabs>
          <w:tab w:leader="none" w:pos="32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54,023 Ordinary Shares by Wellington Biotechnology Long/Short Fund (Bermuda) L.P., (ii) 4,406 Ordinary Shares held by Fiducian Technology Fund, (iii) 27,690 Ordinary Shares held by Wellington Trust Company, National Association Multiple Collective Investment Funds Trust, Biotechnology Portfolio and (iv) 57,293 Ordinary Shares held by Wellington Biotechnology Long/Short Fund, L.P. c/o Wellington Management Company LLP, collectively, the Wellington Stockholders. Wellington Management Company LLP, or WMC, has the power to vote and dispose the securities pursuant to WMC’s investment management relationship with the Wellington Stockholders. WMC is a subsidiary of Wellington Management Group LLP, or WMG. WMG is a Massachusetts limited liability partnership, privately held by 181 partners (as of July 1, 2025). There are no external entities with any ownership interest in the firm. Individual percentages of ownership are confidential. However, no single partner owns or has the right to vote more than 5% of the Partnership’s capital. Additional information about WMC is available in Form ADV filed with the SEC. The address of these entities is Private Investment Services, c/o Wellington Management Company, 280 Congress St. Boston, MA 02210.</w:t>
      </w:r>
    </w:p>
    <w:p>
      <w:pPr>
        <w:ind w:left="332" w:hanging="332"/>
        <w:spacing w:after="0" w:line="258" w:lineRule="auto"/>
        <w:tabs>
          <w:tab w:leader="none" w:pos="32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Ordinary Shares held by Alyeska Master Fund, L.P., or Alyeska. Alyeska Investment Group, L.P., the investment manager of Alyeska Master Fund, L.P., or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160" w:lineRule="exact"/>
        <w:rPr>
          <w:rFonts w:ascii="Times New Roman" w:cs="Times New Roman" w:eastAsia="Times New Roman" w:hAnsi="Times New Roman"/>
          <w:sz w:val="14"/>
          <w:szCs w:val="14"/>
          <w:color w:val="auto"/>
        </w:rPr>
      </w:pPr>
    </w:p>
    <w:p>
      <w:pPr>
        <w:ind w:left="332" w:right="40" w:hanging="332"/>
        <w:spacing w:after="0" w:line="261" w:lineRule="auto"/>
        <w:tabs>
          <w:tab w:leader="none" w:pos="32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Ordinary Shares held by Atlas Private Holdings (Cayman) Ltd., or Atlas. Balyasny Asset Management L.P. is Atlas’ investment adviser. Dmitry Balyasny, via intermediate entities, manages Balyasny Asset Management L.P. and has voting and investment control over the reported securities. The address of Atlas is 767 Fifth Avenue, 35th Floor, New York, NY 10153.</w:t>
      </w:r>
    </w:p>
    <w:p>
      <w:pPr>
        <w:spacing w:after="0" w:line="1" w:lineRule="exact"/>
        <w:rPr>
          <w:rFonts w:ascii="Times New Roman" w:cs="Times New Roman" w:eastAsia="Times New Roman" w:hAnsi="Times New Roman"/>
          <w:sz w:val="14"/>
          <w:szCs w:val="14"/>
          <w:color w:val="auto"/>
        </w:rPr>
      </w:pPr>
    </w:p>
    <w:p>
      <w:pPr>
        <w:ind w:left="332" w:right="40" w:hanging="332"/>
        <w:spacing w:after="0" w:line="257" w:lineRule="auto"/>
        <w:tabs>
          <w:tab w:leader="none" w:pos="32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Ordinary Shares held by CVI Investments, Inc., or CVI. Heights Capital Management, Inc., or Heights Capital, the authorized agent of CVI Investments, Inc., has discretionary authority to vote and dispose of the shares held by CVI and may be deemed to be the beneficial owner of these shares. Martin Kobinger, in his capacity as investment manager of Heights Capital, may also be deemed to have investment discretion and voting power over the shares held by CVI. Mr. Kobinger disclaims any such beneficial ownership of the shares. The business address of CVI is c/o Heights Capital Management, Inc., 101 California Street, Suite 3250, San Francisco, CA 94111.</w:t>
      </w:r>
    </w:p>
    <w:p>
      <w:pPr>
        <w:spacing w:after="0" w:line="2" w:lineRule="exact"/>
        <w:rPr>
          <w:rFonts w:ascii="Times New Roman" w:cs="Times New Roman" w:eastAsia="Times New Roman" w:hAnsi="Times New Roman"/>
          <w:sz w:val="14"/>
          <w:szCs w:val="14"/>
          <w:color w:val="auto"/>
        </w:rPr>
      </w:pPr>
    </w:p>
    <w:p>
      <w:pPr>
        <w:ind w:left="332" w:right="20" w:hanging="332"/>
        <w:spacing w:after="0" w:line="262" w:lineRule="auto"/>
        <w:tabs>
          <w:tab w:leader="none" w:pos="32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(i) 2,747,866 Ordinary Shares, (ii) 2,890,000 Ordinary Shares issuable upon conversion of 2,890 shares of Series A non-voting convertible preferred shares, and (iiii) 1,768,140 Ordinary Shares issuable upon exercise of Pre-Funded Warrants directly held by Fairmount Healthcare Fund II L.P., or Fund II. The exercise of the Pre-Funded Warrants is subject to a beneficial ownership limitation of 9.99% of the outstanding Ordinary Shares and the exercise of the Series A Preferred Shares is subject to a beneficial ownership limitation of 19.99%. At such time as Fairmount Funds Management LLC, or Fairmount and its affiliates beneficially own 9.0% or less of the Ordinary Shares,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12"/>
          </w:cols>
          <w:pgMar w:left="328" w:top="1440" w:right="359" w:bottom="1440" w:gutter="0" w:footer="0" w:header="0"/>
        </w:sectPr>
      </w:pPr>
    </w:p>
    <w:bookmarkStart w:id="173" w:name="page174"/>
    <w:bookmarkEnd w:id="173"/>
    <w:p>
      <w:pPr>
        <w:spacing w:after="0" w:line="135"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4"/>
          <w:szCs w:val="14"/>
          <w:color w:val="auto"/>
        </w:rPr>
        <w:t>with respect to the Series A Preferred Shares will automatically reduce to 9.99%. Fairmount serves as investment manager for Fund II. Fund II has delegated to Fairmount the sole power to vote and the sole power to dispose of all securities held in Fairmount Fund II portfolios. As managers of Fairmount, Peter Harwin and Tomas Kiselak may be deemed to have voting and investment power over the shares held by Fairmount Fund II. Fairmount, Mr. Harwin and Mr. Kiselak disclaim beneficial ownership of such shares, except to the extent of any pecuniary interest therein. The address of the entities and individuals listed is c/o Fairmount Funds Management LLC, 200 Barr Harbor Drive, Suite 400, West Conshohocken, PA 19428.</w:t>
      </w:r>
    </w:p>
    <w:p>
      <w:pPr>
        <w:spacing w:after="0" w:line="1" w:lineRule="exact"/>
        <w:rPr>
          <w:sz w:val="20"/>
          <w:szCs w:val="20"/>
          <w:color w:val="auto"/>
        </w:rPr>
      </w:pPr>
    </w:p>
    <w:p>
      <w:pPr>
        <w:ind w:left="340" w:right="20" w:hanging="332"/>
        <w:spacing w:after="0" w:line="257" w:lineRule="auto"/>
        <w:tabs>
          <w:tab w:leader="none" w:pos="33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Ordinary Shares held by ForGrowth III PA B.V., or ForGrowth III. Forbion Growth III Management B.V., or Forbion Growth III, is the director of ForGrowth III. Forbion Growth III COOP, the sole shareholder of ForGrowth III, and Forbion Growth III, as director of each of ForGrowth III and Forbion Growth III COOP, may be deemed to have voting and investment power over the shares held directly by ForGrowth III. The principal business address of ForGrowth III is c/o Forbion Capital Partners, Gooimeer 2-35, 1411 DC Naarden, The Netherlands.</w:t>
      </w:r>
    </w:p>
    <w:p>
      <w:pPr>
        <w:spacing w:after="0" w:line="2" w:lineRule="exact"/>
        <w:rPr>
          <w:rFonts w:ascii="Times New Roman" w:cs="Times New Roman" w:eastAsia="Times New Roman" w:hAnsi="Times New Roman"/>
          <w:sz w:val="14"/>
          <w:szCs w:val="14"/>
          <w:color w:val="auto"/>
        </w:rPr>
      </w:pPr>
    </w:p>
    <w:p>
      <w:pPr>
        <w:ind w:left="340" w:right="20" w:hanging="332"/>
        <w:spacing w:after="0" w:line="260" w:lineRule="auto"/>
        <w:tabs>
          <w:tab w:leader="none" w:pos="33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Ordinary Shares held by Opaleye, L.P. Opaleye Management Inc. is an investment manager for Opaleye L.P. and James Aaron Silverman is the president of Opaleye Management Inc. Mr. Silverman shares voting and investment power with respect to the shares held by Opaleye, L.P. The principal business address of Opaleye, L.P. is One Boston Place, 26th Floor, Boston, MA 02108.</w:t>
      </w:r>
    </w:p>
    <w:p>
      <w:pPr>
        <w:ind w:left="340" w:hanging="332"/>
        <w:spacing w:after="0" w:line="258" w:lineRule="auto"/>
        <w:tabs>
          <w:tab w:leader="none" w:pos="33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Ordinary Shares held by Point72 Associates, LLC. Point72 Asset Management, L.P. maintains investment and voting power with respect to the securities held by certain investment funds it manages, including Point72 Associates, LLC. Point72 Capital Advisors, Inc. is the general partner of Point72 Asset Management, L.P. Mr. Steven A. Cohen controls each of Point72 Asset Management, L.P. and Point72 Capital Advisors, Inc. By reason of the provisions of Rule 13d-3 of the Exchange Act, each of Point72 Asset Management, L.P., Point72Capital Advisors, Inc., and Mr. Cohen may be deemed to beneficially own the securities held byPoint72 Associates, LLC that are disclosed herein. Each of Point72 Asset Management, L.P., Point72Capital Advisors, Inc., and Mr. Cohen disclaims beneficial ownership of any such securities. The address for Point72 Associates is c/o Point72 Asset Management, L.P., 72 Cummings Point Road, Stamford, CT 06902.</w:t>
      </w:r>
    </w:p>
    <w:p>
      <w:pPr>
        <w:spacing w:after="0" w:line="1" w:lineRule="exact"/>
        <w:rPr>
          <w:rFonts w:ascii="Times New Roman" w:cs="Times New Roman" w:eastAsia="Times New Roman" w:hAnsi="Times New Roman"/>
          <w:sz w:val="14"/>
          <w:szCs w:val="14"/>
          <w:color w:val="auto"/>
        </w:rPr>
      </w:pPr>
    </w:p>
    <w:p>
      <w:pPr>
        <w:ind w:left="340" w:right="120" w:hanging="332"/>
        <w:spacing w:after="0" w:line="262" w:lineRule="auto"/>
        <w:tabs>
          <w:tab w:leader="none" w:pos="33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listed under “Number of Ordinary Shares Beneficially Owned Prior to the Offering” consists of Ordinary Shares held by Woodline Master Fund LP. Woodline Partners LP serves as the investment manager of Woodline Master Fund LP and may be deemed to be the beneficial owner of the shares. Woodline Partners LP disclaims any beneficial ownership of these shares. The address of the Woodline Master Fund LP is 4 Embarcadero Center, Suite 3450, San Francisco, CA 94111.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of their pledgees, donees, transferees, assignees or other successors-in-interest may, from time to time, sell, transfer or otherwise dispose of any or all of their ordinary shares or interests in ordinary shares on any stock exchange, market or trading facility on which the ordinary shares are traded or in private transactions. These dispositions may be at fixed prices, at prevailing market prices at the time of sale, at prices related to the prevailing market price, at varying prices determined at the time of sale, or at negotiated prices. The Selling Securityholders may use one or more of the following methods when disposing of the shares or interests therein:</w:t>
      </w:r>
    </w:p>
    <w:p>
      <w:pPr>
        <w:spacing w:after="0" w:line="129"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that may act solely as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at a stipulated price per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disposition;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shares under Rule 144 or Rule 904 under the Securities Act of 1933, as amended, or Securities Act, if available, or Section 4(a)(1) under the Securities Act, rather than under this prospectus.</w:t>
      </w:r>
    </w:p>
    <w:p>
      <w:pPr>
        <w:spacing w:after="0" w:line="10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The Selling Securityholders do not expect these commissions and discounts to exceed what is customary in the types of transactions involved.</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 ordinary shares owned by them and, if they default in the performance of their secured obligations, the pledgees or secured parties may offer and sell ordinary shares from time to time under this prospectus, or under a supplement or amendment to this prospectus under Rule 424(b)(3) or other applicable provision of the Securities Act amending the list of Selling Securityholders to include the pledgee, transferee or other successors in interest as Selling Securityholders under this prospectus.</w:t>
      </w:r>
    </w:p>
    <w:p>
      <w:pPr>
        <w:spacing w:after="0" w:line="12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Upon being notified in writing by a Selling Securityholder that any material arrangement has been entered into with a broker-dealer for the sale of ordinary shares through a block trade, special offering, exchange distribution or secondary distribution or a purchase by a broker or dealer, we will file a supplement to this prospectus, if required, pursuant to Rule 424(b) under the Securities Act, disclosing (i) the name of each such Selling Securityholder and of the participating broker-dealer(s), (ii) the number of shares involved, (iii) the price at which such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80"/>
          </w:cols>
          <w:pgMar w:left="320" w:top="1440" w:right="399" w:bottom="1440" w:gutter="0" w:footer="0" w:header="0"/>
        </w:sectPr>
      </w:pPr>
    </w:p>
    <w:bookmarkStart w:id="175" w:name="page176"/>
    <w:bookmarkEnd w:id="175"/>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Selling Securityholder that a donee or pledgee intends to sell more than 500 ordinary shares, we will file a supplement to this prospectus if then required in accordance with applicable securities law.</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Selling Securityholders also may transfer the ordinary shares in other circumstances, in which case the transferees, pledgees or other successors in interest will be the selling beneficial owners for purposes of this prospectus.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ordinary shares or interests in ordinary shares, the Selling Securityholders may enter into hedging transactions with broker-dealers or other financial institutions, which may in turn engage in short sales of the ordinary shares in the course of hedging the positions they assume. The Selling Securityholders may also sell ordinary shares short and deliver these securities to close out their short positions, or loan or pledge the ordinary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shares may be deemed to be “underwriters” within the meaning of the Securities Act in connection with such sales. In such event, any profits realized by such Selling Securityholders or compensation received by such broker-dealers or agents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have advised the Selling Securityholders that they are required to comply with Regulation M promulgated under the Securities Exchange Act of 1934, as amended, during such time as they may be engaged in a distribution of the shares. The foregoing may affect the marketability of the ordinary shares.</w:t>
      </w:r>
    </w:p>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the ordinary shares offered by them will be the purchase price of the ordinary shares less discounts or commissions, if any. Each of the Selling Securityholders reserves the right to accept and, together with their agents from time to time, to reject, in whole or in part, any proposed purchase of ordinary shares to be made directly or through agents. We will not receive any of the proceeds from this offering.</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shares. We have agreed to indemnify the Selling Securityholders against certain losses, claims, damages and liabilities, including liabilities under the Securities Act or otherwise.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agreed with the Selling Securityholders to keep the registration statement of which this prospectus constitutes a part effective until the earlier of (i) the date on which the Selling Securityholders shall have resold all the securities covered hereby or in accordance with Rule 144 under the Securities Act (or another exemption from the registration requirements of the Securities Act); (ii) the date on which all the securities covered hereby may be resold by the Selling Securityholders without registration and without regard to any volume or manner-of-sale limitations by reason of Rule 144, without the requirement for the Company to be in compliance with the current public information requirement under Rule 144 under the Securities Act; and (iii) such time as any then remaining securities covered hereby shall cease to be “registrable securities” , as such term is defined in the registration rights agreement by and among us and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shares of our Ordinary Shares offered by this prospectus will be passed upon for us by Walkers (Cayman) LLP.</w:t>
      </w:r>
    </w:p>
    <w:p>
      <w:pPr>
        <w:spacing w:after="0" w:line="1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financial statements as of December 31, 2024 and for the period from September 19, 2024 (inception) to December 31, 2024 included in this Prospectus have been so included in reliance on the report (which contains an explanatory paragraph relating to Crescent Biopharma, Inc.’s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website (http://www.sec.gov) that contains reports, proxy and information statements, and various other information about us.</w:t>
      </w:r>
    </w:p>
    <w:p>
      <w:pPr>
        <w:spacing w:after="0" w:line="12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http://www.crescentbiopharma.com.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1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have filed a registration statement on Form S-1 with the SEC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as of December 31, 2024 and for the period from September 19, 2024 (inception) to December 31,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360" w:type="dxa"/>
            <w:vAlign w:val="bottom"/>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60" w:type="dxa"/>
            <w:vAlign w:val="bottom"/>
            <w:shd w:val="clear" w:color="auto" w:fill="CCEEFF"/>
          </w:tcPr>
          <w:p>
            <w:pPr>
              <w:spacing w:after="0"/>
              <w:rPr>
                <w:sz w:val="17"/>
                <w:szCs w:val="17"/>
                <w:color w:val="auto"/>
              </w:rPr>
            </w:pPr>
          </w:p>
        </w:tc>
        <w:tc>
          <w:tcPr>
            <w:tcW w:w="60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0000FF"/>
              </w:rPr>
              <w:t>F-2</w:t>
            </w: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Balance Sheet</w:t>
            </w:r>
          </w:p>
        </w:tc>
        <w:tc>
          <w:tcPr>
            <w:tcW w:w="6140" w:type="dxa"/>
            <w:vAlign w:val="bottom"/>
            <w:tcBorders>
              <w:top w:val="single" w:sz="8" w:color="CCEEFF"/>
            </w:tcBorders>
            <w:gridSpan w:val="4"/>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5"/>
              </w:rPr>
              <w:t>F-4</w:t>
            </w:r>
          </w:p>
        </w:tc>
        <w:tc>
          <w:tcPr>
            <w:tcW w:w="300" w:type="dxa"/>
            <w:vAlign w:val="bottom"/>
            <w:tcBorders>
              <w:top w:val="single" w:sz="8" w:color="CCEEFF"/>
            </w:tcBorders>
            <w:gridSpan w:val="2"/>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Statement of Operations and Comprehensive Loss</w:t>
            </w:r>
          </w:p>
        </w:tc>
        <w:tc>
          <w:tcPr>
            <w:tcW w:w="6740" w:type="dxa"/>
            <w:vAlign w:val="bottom"/>
            <w:tcBorders>
              <w:bottom w:val="single" w:sz="8" w:color="CCEEFF"/>
            </w:tcBorders>
            <w:gridSpan w:val="7"/>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5"/>
              </w:rPr>
              <w:t>F-5</w:t>
            </w:r>
          </w:p>
        </w:tc>
        <w:tc>
          <w:tcPr>
            <w:tcW w:w="300" w:type="dxa"/>
            <w:vAlign w:val="bottom"/>
            <w:tcBorders>
              <w:bottom w:val="single" w:sz="8" w:color="CCEEFF"/>
            </w:tcBorders>
            <w:gridSpan w:val="2"/>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3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Statement of Convertible Preferred Stock and Stockholders’ Deficit</w:t>
            </w:r>
          </w:p>
        </w:tc>
        <w:tc>
          <w:tcPr>
            <w:tcW w:w="260" w:type="dxa"/>
            <w:vAlign w:val="bottom"/>
          </w:tcPr>
          <w:p>
            <w:pPr>
              <w:spacing w:after="0"/>
              <w:rPr>
                <w:sz w:val="16"/>
                <w:szCs w:val="16"/>
                <w:color w:val="auto"/>
              </w:rPr>
            </w:pPr>
          </w:p>
        </w:tc>
        <w:tc>
          <w:tcPr>
            <w:tcW w:w="600" w:type="dxa"/>
            <w:vAlign w:val="bottom"/>
            <w:gridSpan w:val="4"/>
          </w:tcPr>
          <w:p>
            <w:pPr>
              <w:ind w:left="40"/>
              <w:spacing w:after="0" w:line="189" w:lineRule="exact"/>
              <w:rPr>
                <w:sz w:val="20"/>
                <w:szCs w:val="20"/>
                <w:color w:val="auto"/>
              </w:rPr>
            </w:pPr>
            <w:r>
              <w:rPr>
                <w:rFonts w:ascii="Times New Roman" w:cs="Times New Roman" w:eastAsia="Times New Roman" w:hAnsi="Times New Roman"/>
                <w:sz w:val="18"/>
                <w:szCs w:val="18"/>
                <w:color w:val="0000FF"/>
              </w:rPr>
              <w:t>F-6</w:t>
            </w: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Statement of Cash Flows</w:t>
            </w:r>
          </w:p>
        </w:tc>
        <w:tc>
          <w:tcPr>
            <w:tcW w:w="260" w:type="dxa"/>
            <w:vAlign w:val="bottom"/>
            <w:shd w:val="clear" w:color="auto" w:fill="CCEEFF"/>
          </w:tcPr>
          <w:p>
            <w:pPr>
              <w:spacing w:after="0"/>
              <w:rPr>
                <w:sz w:val="16"/>
                <w:szCs w:val="16"/>
                <w:color w:val="auto"/>
              </w:rPr>
            </w:pPr>
          </w:p>
        </w:tc>
        <w:tc>
          <w:tcPr>
            <w:tcW w:w="600" w:type="dxa"/>
            <w:vAlign w:val="bottom"/>
            <w:gridSpan w:val="4"/>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0000FF"/>
              </w:rPr>
              <w:t>F-7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Financial Statements</w:t>
            </w:r>
          </w:p>
        </w:tc>
        <w:tc>
          <w:tcPr>
            <w:tcW w:w="8200" w:type="dxa"/>
            <w:vAlign w:val="bottom"/>
            <w:gridSpan w:val="9"/>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5"/>
              </w:rPr>
              <w:t>F-8</w:t>
            </w:r>
          </w:p>
        </w:tc>
        <w:tc>
          <w:tcPr>
            <w:tcW w:w="300" w:type="dxa"/>
            <w:vAlign w:val="bottom"/>
            <w:gridSpan w:val="2"/>
          </w:tcPr>
          <w:p>
            <w:pPr>
              <w:spacing w:after="0"/>
              <w:rPr>
                <w:sz w:val="16"/>
                <w:szCs w:val="16"/>
                <w:color w:val="auto"/>
              </w:rPr>
            </w:pPr>
          </w:p>
        </w:tc>
      </w:tr>
      <w:tr>
        <w:trPr>
          <w:trHeight w:val="49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320" w:type="dxa"/>
            <w:vAlign w:val="bottom"/>
            <w:gridSpan w:val="11"/>
          </w:tcPr>
          <w:p>
            <w:pPr>
              <w:ind w:left="640"/>
              <w:spacing w:after="0"/>
              <w:rPr>
                <w:sz w:val="20"/>
                <w:szCs w:val="20"/>
                <w:color w:val="auto"/>
              </w:rPr>
            </w:pPr>
            <w:r>
              <w:rPr>
                <w:rFonts w:ascii="Times New Roman" w:cs="Times New Roman" w:eastAsia="Times New Roman" w:hAnsi="Times New Roman"/>
                <w:sz w:val="18"/>
                <w:szCs w:val="18"/>
                <w:b w:val="1"/>
                <w:bCs w:val="1"/>
                <w:color w:val="auto"/>
              </w:rPr>
              <w:t>INDEX TO UNAUDITED INTERIM CONDENSED CONSOLIDATED FINANCIAL STATEMENTS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10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as of and for the Nine Months Ended September 30, 2025</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gridSpan w:val="4"/>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gridSpan w:val="3"/>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94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7420" w:type="dxa"/>
            <w:vAlign w:val="bottom"/>
            <w:gridSpan w:val="8"/>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260" w:type="dxa"/>
            <w:vAlign w:val="bottom"/>
          </w:tcPr>
          <w:p>
            <w:pPr>
              <w:spacing w:after="0"/>
              <w:rPr>
                <w:sz w:val="16"/>
                <w:szCs w:val="16"/>
                <w:color w:val="auto"/>
              </w:rPr>
            </w:pPr>
          </w:p>
        </w:tc>
        <w:tc>
          <w:tcPr>
            <w:tcW w:w="6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F-30</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4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Convertible Preferred Stock and Shareholders’ Equity (Deficit)</w:t>
            </w:r>
          </w:p>
        </w:tc>
        <w:tc>
          <w:tcPr>
            <w:tcW w:w="2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Cash Flows</w:t>
            </w: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F-33</w:t>
            </w: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60" w:type="dxa"/>
            <w:vAlign w:val="bottom"/>
            <w:shd w:val="clear" w:color="auto" w:fill="CCEEFF"/>
          </w:tcPr>
          <w:p>
            <w:pPr>
              <w:spacing w:after="0"/>
              <w:rPr>
                <w:sz w:val="16"/>
                <w:szCs w:val="16"/>
                <w:color w:val="auto"/>
              </w:rPr>
            </w:pPr>
          </w:p>
        </w:tc>
        <w:tc>
          <w:tcPr>
            <w:tcW w:w="6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F-34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Crescent Biopharma,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Crescent Biopharma, Inc. (the “Company”) as of December 31, 2024, and the related statements of operations and comprehensive loss, of convertible preferred stock and stockholders’ deficit and of cash flows for the period from September 19, 2024 (inception) to December 31, 2024, including the related notes (collectively referred to as the “financial statements”). In our opinion, the financial statements present fairly, in all material respects, the financial position of the Company as of December 31, 2024, and the results of its operations and its cash flows for the period from September 19, 2024 (inception) to December 31, 2024 in conformity with accounting principles generally accepted in the United States of America.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incurred significant operating losses and negative cash flows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conducted our audit of these financial statements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w:t>
      </w:r>
    </w:p>
    <w:p>
      <w:pPr>
        <w:ind w:firstLine="8"/>
        <w:spacing w:after="0" w:line="255" w:lineRule="auto"/>
        <w:tabs>
          <w:tab w:leader="none" w:pos="2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Research and Development Costs</w:t>
      </w:r>
    </w:p>
    <w:p>
      <w:pPr>
        <w:spacing w:after="0" w:line="17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described in Note 2 to the financial statements, research and development costs are expensed as incurred. Research and development costs include salaries and bonuses, stock-based compensation, employee benefits, and external costs of vendors and consultants engaged to conduct research and development activities.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for the period from September 19, 2024 (inception) to December 31, 2024 was $14.0 million, a majority of which relates to external research and development costs.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These procedures included, among others, testing external research and development costs on a sample basis by obtaining and agreeing the contractual terms of the agreement, amounts incurred to date, and estimates of work performed to date to the (i) underlying agreements with vendors engaged to conduct research and development; (ii) purchase orders; (iii) invoices received; (iv) underlying payments made for expenses incurred on the contracts; and (v) external confirmations or communications obtained by management from vendors.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February 18, 2025, except for the effects of the reverse merger exchange ratio discussed in Note 1 to the financial statements, as to which the date is December 12,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CRESCENT BIOPHARMA, INC.</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Notes payable, noncurrent</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w:t>
            </w:r>
          </w:p>
        </w:tc>
        <w:tc>
          <w:tcPr>
            <w:tcW w:w="0" w:type="dxa"/>
            <w:vAlign w:val="bottom"/>
          </w:tcPr>
          <w:p>
            <w:pPr>
              <w:spacing w:after="0"/>
              <w:rPr>
                <w:sz w:val="1"/>
                <w:szCs w:val="1"/>
                <w:color w:val="auto"/>
              </w:rPr>
            </w:pPr>
          </w:p>
        </w:tc>
      </w:tr>
      <w:tr>
        <w:trPr>
          <w:trHeight w:val="21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Seed convertible preferred stock, $0.0001 par value; 20,000,000 shares authorized as of December 31, 2024; 20,000,000</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2024; liquidation preference of $4,000 as of December 31, 2024</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40,000,000 shares authorized, 1,018,604 shares issued and outstanding as of December 31,</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2024, respectively</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35,617</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$341 as of December 31, 2024 (see Note 12).</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$14,993 as of December 31, 2024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37"/>
        </w:trPr>
        <w:tc>
          <w:tcPr>
            <w:tcW w:w="9680" w:type="dxa"/>
            <w:vAlign w:val="bottom"/>
          </w:tcPr>
          <w:p>
            <w:pPr>
              <w:spacing w:after="0"/>
              <w:rPr>
                <w:sz w:val="11"/>
                <w:szCs w:val="11"/>
                <w:color w:val="auto"/>
              </w:rPr>
            </w:pPr>
          </w:p>
        </w:tc>
        <w:tc>
          <w:tcPr>
            <w:tcW w:w="15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 December</w:t>
            </w: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6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w:t>
            </w:r>
          </w:p>
        </w:tc>
      </w:tr>
      <w:tr>
        <w:trPr>
          <w:trHeight w:val="229"/>
        </w:trPr>
        <w:tc>
          <w:tcPr>
            <w:tcW w:w="9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23"/>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w:t>
            </w:r>
          </w:p>
        </w:tc>
      </w:tr>
      <w:tr>
        <w:trPr>
          <w:trHeight w:val="21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96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3"/>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767,580</w:t>
            </w:r>
          </w:p>
        </w:tc>
      </w:tr>
      <w:tr>
        <w:trPr>
          <w:trHeight w:val="21"/>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$13,185 for the period from September 19, 2024 (inception) to December 31, 2024 (see Note 12).</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$571 for the period from September 19, 2024 (inception) to December 31, 2024 (see Note 12).</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$341 for the period from September 19, 2024 (inception) to December 31, 2024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200" w:type="dxa"/>
            <w:vAlign w:val="bottom"/>
            <w:tcBorders>
              <w:right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80" w:type="dxa"/>
            <w:vAlign w:val="bottom"/>
          </w:tcPr>
          <w:p>
            <w:pPr>
              <w:spacing w:after="0"/>
              <w:rPr>
                <w:sz w:val="14"/>
                <w:szCs w:val="14"/>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w w:val="99"/>
              </w:rPr>
              <w:t>Additional Paid-in Capital</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 Stockholders’ Deficit</w:t>
            </w:r>
          </w:p>
        </w:tc>
        <w:tc>
          <w:tcPr>
            <w:tcW w:w="0" w:type="dxa"/>
            <w:vAlign w:val="bottom"/>
          </w:tcPr>
          <w:p>
            <w:pPr>
              <w:spacing w:after="0"/>
              <w:rPr>
                <w:sz w:val="1"/>
                <w:szCs w:val="1"/>
                <w:color w:val="auto"/>
              </w:rPr>
            </w:pPr>
          </w:p>
        </w:tc>
      </w:tr>
      <w:tr>
        <w:trPr>
          <w:trHeight w:val="124"/>
        </w:trPr>
        <w:tc>
          <w:tcPr>
            <w:tcW w:w="20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Balances as of September 19,</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2024 (inception)</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5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Issuance of common stock</w:t>
            </w:r>
            <w:r>
              <w:rPr>
                <w:rFonts w:ascii="Times New Roman" w:cs="Times New Roman" w:eastAsia="Times New Roman" w:hAnsi="Times New Roman"/>
                <w:sz w:val="18"/>
                <w:szCs w:val="18"/>
                <w:color w:val="auto"/>
                <w:vertAlign w:val="superscript"/>
              </w:rPr>
              <w:t>(1)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1,018,604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139"/>
        </w:trPr>
        <w:tc>
          <w:tcPr>
            <w:tcW w:w="20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Series Seed</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(17,867)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(17,867)</w:t>
            </w:r>
          </w:p>
        </w:tc>
        <w:tc>
          <w:tcPr>
            <w:tcW w:w="0" w:type="dxa"/>
            <w:vAlign w:val="bottom"/>
          </w:tcPr>
          <w:p>
            <w:pPr>
              <w:spacing w:after="0"/>
              <w:rPr>
                <w:sz w:val="1"/>
                <w:szCs w:val="1"/>
                <w:color w:val="auto"/>
              </w:rPr>
            </w:pPr>
          </w:p>
        </w:tc>
      </w:tr>
      <w:tr>
        <w:trPr>
          <w:trHeight w:val="117"/>
        </w:trPr>
        <w:tc>
          <w:tcPr>
            <w:tcW w:w="20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Balances as of December 31,</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1,018,604</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vMerge w:val="restart"/>
          </w:tcPr>
          <w:p>
            <w:pPr>
              <w:ind w:left="680"/>
              <w:spacing w:after="0"/>
              <w:rPr>
                <w:sz w:val="20"/>
                <w:szCs w:val="20"/>
                <w:color w:val="auto"/>
              </w:rPr>
            </w:pPr>
            <w:r>
              <w:rPr>
                <w:rFonts w:ascii="Times New Roman" w:cs="Times New Roman" w:eastAsia="Times New Roman" w:hAnsi="Times New Roman"/>
                <w:sz w:val="14"/>
                <w:szCs w:val="14"/>
                <w:color w:val="auto"/>
              </w:rPr>
              <w:t>(17,867)</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(15,479)</w:t>
            </w:r>
          </w:p>
        </w:tc>
        <w:tc>
          <w:tcPr>
            <w:tcW w:w="0" w:type="dxa"/>
            <w:vAlign w:val="bottom"/>
          </w:tcPr>
          <w:p>
            <w:pPr>
              <w:spacing w:after="0"/>
              <w:rPr>
                <w:sz w:val="1"/>
                <w:szCs w:val="1"/>
                <w:color w:val="auto"/>
              </w:rPr>
            </w:pPr>
          </w:p>
        </w:tc>
      </w:tr>
      <w:tr>
        <w:trPr>
          <w:trHeight w:val="218"/>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issuance of 296,104 restricted stock awards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3"/>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c>
          <w:tcPr>
            <w:tcW w:w="0" w:type="dxa"/>
            <w:vAlign w:val="bottom"/>
          </w:tcPr>
          <w:p>
            <w:pPr>
              <w:spacing w:after="0"/>
              <w:rPr>
                <w:sz w:val="1"/>
                <w:szCs w:val="1"/>
                <w:color w:val="auto"/>
              </w:rPr>
            </w:pPr>
          </w:p>
        </w:tc>
      </w:tr>
      <w:tr>
        <w:trPr>
          <w:trHeight w:val="137"/>
        </w:trPr>
        <w:tc>
          <w:tcPr>
            <w:tcW w:w="9680" w:type="dxa"/>
            <w:vAlign w:val="bottom"/>
          </w:tcPr>
          <w:p>
            <w:pPr>
              <w:spacing w:after="0"/>
              <w:rPr>
                <w:sz w:val="11"/>
                <w:szCs w:val="11"/>
                <w:color w:val="auto"/>
              </w:rPr>
            </w:pPr>
          </w:p>
        </w:tc>
        <w:tc>
          <w:tcPr>
            <w:tcW w:w="15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 December</w:t>
            </w:r>
          </w:p>
        </w:tc>
        <w:tc>
          <w:tcPr>
            <w:tcW w:w="0" w:type="dxa"/>
            <w:vAlign w:val="bottom"/>
          </w:tcPr>
          <w:p>
            <w:pPr>
              <w:spacing w:after="0"/>
              <w:rPr>
                <w:sz w:val="1"/>
                <w:szCs w:val="1"/>
                <w:color w:val="auto"/>
              </w:rPr>
            </w:pP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research and development expense related to Paragon option agreement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Series Seed convertible preferred stock,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Proceeds from the issuance of notes payable, net of issuance costs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 in accrued expenses and other current liabilities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$341 for the period from September 19, 2024 (inception) to December 31,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$14,993 for the period from September 19, 2024 (inception) to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Basis of Presentation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Crescent Biopharma, Inc. (“Crescent” or the “Company”) was established and incorporated under the laws of the state of Delaware on September 19, 2024. Crescent was founded to research and develop cancer therapy candidates licensed from Paragon Therapeutics, Inc. (“Paragon”), an antibody discovery engine founded by Fairmount Funds Management LLC (“Fairmount”). The Company currently operates as a virtual company, and thus, does not maintain a corporate headquarters or other significant facilities. Crescent was formed to develop therapies for the treatment of solid tumors.</w:t>
      </w:r>
    </w:p>
    <w:p>
      <w:pPr>
        <w:spacing w:after="0" w:line="12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w:t>
      </w:r>
    </w:p>
    <w:p>
      <w:pPr>
        <w:spacing w:after="0" w:line="1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GlycoMimetics, Inc., a Delaware corporation (“GlycoMimetics”), and the Company entered into an Agreement and Plan of Merger (the “Merger Agreement”) on October 28, 2024, which agreement was subsequently amended on February 14, 2025, pursuant to which, among other matters, and subject to the satisfaction or waiver of the conditions set forth in the Merger Agreement, Gemini Merger Sub Corp., a Delaware corporation, will merge with and into Crescent, with Crescent continuing as a wholly owned subsidiary of GlycoMimetics and the surviving corporation of the merger (the “First Merger”), and Crescent will merge with and into Gemini Merger Sub II, LLC, a Delaware limited liability company (“Second Merger Sub”), with Second Merger Sub being the surviving entity of the merger (the “Second Merger” and, together with the First Merger, the “Merger”). In connection with the Merger, Second Merger Sub will change its corporate name to “Crescent Biopharma Operating Company, LLC” and GlycoMimetics will change its name to “Crescent Biopharma, Inc.” GlycoMimetics following the Merger is referred to herein as the “combined company.” The combined company will be led by Crescent’s management team and will focus on developing cancer therapies for the treatment of solid tumors.</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effective time of the First Merger (the “First Effective Time”), (i) each then-outstanding share of Crescent common stock (including shares of Crescent common stock issued in the Crescent Pre-Closing Financing described below) (excluding shares to be canceled pursuant to the Merger Agreement and excluding dissenting shares) will be automatically converted solely into the right to receive a number of shares of GlycoMimetics common stock equal to the exchange ratio set forth in the Merger Agreement and (ii) each then-outstanding share of Crescent preferred stock will be converted into the right to receive a number of shares of GlycoMimetics Series A Preferred Stock equal to the exchange ratio divided by 1,000, in accordance with the terms of the Merger Agreement, (iii) each then-outstanding option to purchase Crescent common stock will be assumed by GlycoMimetics, subject to adjustment as set forth in the Merger Agreement, (iv) each then-outstanding warrant to purchase shares of Crescent common stock will be converted into a warrant to purchase shares of GlycoMimetics common stock, subject to adjustment as set forth in the Merger Agreement and the form of warrant, (v) each in-the-money option to acquire shares of GlycoMimetics common stock that is issued and outstanding (whether vested or unvested) will be cancelled and converted into the right to receive immediately prior to the First Effective Time a number of shares of GlycoMimetics common stock equal to the number of shares underlying such option;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ind w:right="60" w:firstLine="8"/>
        <w:spacing w:after="0" w:line="282" w:lineRule="auto"/>
        <w:tabs>
          <w:tab w:leader="none" w:pos="3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GlycoMimetics restricted stock unit will be cancelled and converted into the right to receive a number of shares of GlycoMimetics common stock equal to the number of unsettled shares of GlycoMimetics common stock underlying such GlycoMimetics restricted stock unit.</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connection with the Merger, on February 14, 2025, Crescent and GlycoMimetics entered into an amended and restated subscription agreement (the “Subscription Agreement”) with certain investors, including certain investors of the Company, pursuant to which the Company agreed to issue and sell to such investors in a financing transaction (the “Crescent Pre-Closing Financing”) shares of the Company’s common stock and pre-funded warrants to purchase shares of the Company’s common stock at an estimated purchase price of $1.9110 per share of common stock and $1.9109 per pre-funded warrant, for gross proceeds of approximately $200.0 million (which includes $37.5 million of gross proceeds previously received by Crescent from the issuance of its convertible notes (the “Convertible Notes”) and accrued interest on such notes), which will precede the closing of the Merger. Shares of the Company’s common stock and pre-funded warrants to purchase shares of the Company’s common stock issued pursuant to the Crescent Pre-Closing Financing will be converted into shares of GlycoMimetics common stock and pre-funded warrants to purchase share of GlycoMimetics common stock in accordance with the exchange ratio at the effective time of the close of the transaction.</w:t>
      </w:r>
    </w:p>
    <w:p>
      <w:pPr>
        <w:spacing w:after="0" w:line="1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financial statement and accompanying notes have been prepared in accordance with accounting principles generally accepted in the United States of America (“U.S.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Merger Exchange Ratio</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13, 2025, (the “Closing Date”), the Company consummated the previously announced transaction pursuant to the Merger Agreement. The exchange ratio was calculated as 0.1445 shares of GlycoMimetics common stock for each share of Crescent common stock (and 0.0001445 shares of Series A Preferred Stock for each share of Crescent Series Seed Convertible Preferred Stock) on the Closing Date, which gives effect to a 1-for-100 reverse stock split of shares of GlycoMimetics common stock immediately prior to the Merger. The number of authorized shares were not adjusted as a result of the exchange ratio. The par value per share was adjusted to $0.001 as a result of the Merger. The shares of Company common stock underlying outstanding stock options, restricted stock awards, and other equity instruments were proportionately reduced and the respective exercise prices, if applicable, were proportionately increased in accordance with the terms of the agreements governing such securities. All references to common stock, options to purchase common stock, common stock share data, per share data, and related information contained in the consolidated financial statements have been retrospectively adjusted to reflect the effect of the exchange ratio for all periods presented, unless otherwise specifically indicated or the context otherwise requires.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twelve months of the date that the financial statements are issued. As of December 31, 2024, the Company had $34.8 million in cash.</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will devote substantially all of its resources to advancing the development of its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to developing its internal commercialization capability to support product sales, marketing, and distribution.</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a result, the Company will need substantial additional funding to support its operating activities as it advances its potential product candidates through development, seeks regulatory approval and prepares for and, if any of its potential product candidates are approved, proceeds to commercialization. Until such time as the Company can generate significant revenue from product sales, if ever, the Company expects to finance its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a combination of equity offerings and debt financings. Adequate funding may not be available to the Company on acceptable terms, or at all.</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not generated any revenue from product sales or other sources and has incurred significant operating losses and negative cash flows from operations since inception. The Company has incurred a net loss of $17.9 million during the period from September 19, 2024 (inception) to December 31, 2024. As of December 31, 2024, the Company had an accumulated deficit of $17.9 million.</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October 2024, the Company received $37.5 million in gross proceeds from a Convertible Note Agreement with several investors, of which Fairmount, through an affiliate fund, holds a convertible note with an initial principal amount of $15.0 million, which qualifies as a related party transaction (see Note 12).</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Merger, Crescent and GlycoMimetics entered into the Subscription Agreement, as discussed elsewhere in Note 1 of these financial statements. Shares of Crescent common stock and pre-funded warrants to purchase shares of Crescent common stock issued pursuant to the Subscription Agreement will be converted into shares of GlycoMimetics common stock and pre-funded warrants to purchase shares of GlycoMimetics common stock at Closing pursuant to the Merger Agreement. However, the completion of the transactions is subject to the satisfaction of customary closing conditions, and there are no assurances that such conditions will be achieved nor that such financing or other strategic transactions will be available on acceptable terms, or at all.</w:t>
      </w:r>
    </w:p>
    <w:p>
      <w:pPr>
        <w:spacing w:after="0" w:line="13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Based on its expectations of continuing operating losses and negative cash flows from operations for the foreseeable future, as of February 18, 2025, the date the Company’s financial statements are available to be issued, the Company has concluded that there is substantial doubt about its ability to continue as a going concern for at least 12 months from the date the financial statements are available to be issued.</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do not include any adjustments relating to the recoverability and classification of recorded asset amounts or the amounts and classification of liabilities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U.S. GAAP requires management to make estimates, assumptions, and judgments that affect the reported amounts of assets and liabilities and the disclosure of contingent assets and liabilities at the date of the financial statements and the reported amounts of expenses during the reporting periods. Significant estimates and assumptions reflected within these financial statements include but are not limited to research and development expenses and any applicable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operates and manages its business as a single segment for the purposes of assessing performance and making operating decisions. The Company’s chief executive officer, who is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0" w:lineRule="exact"/>
        <w:rPr>
          <w:sz w:val="20"/>
          <w:szCs w:val="20"/>
          <w:color w:val="auto"/>
        </w:rPr>
      </w:pPr>
    </w:p>
    <w:p>
      <w:pPr>
        <w:ind w:right="360"/>
        <w:spacing w:after="0" w:line="438" w:lineRule="auto"/>
        <w:rPr>
          <w:sz w:val="20"/>
          <w:szCs w:val="20"/>
          <w:color w:val="auto"/>
        </w:rPr>
      </w:pPr>
      <w:r>
        <w:rPr>
          <w:rFonts w:ascii="Times New Roman" w:cs="Times New Roman" w:eastAsia="Times New Roman" w:hAnsi="Times New Roman"/>
          <w:sz w:val="18"/>
          <w:szCs w:val="18"/>
          <w:color w:val="auto"/>
        </w:rPr>
        <w:t xml:space="preserve">(the “CODM”), reviews the Company’s financial information for purposes of evaluating financial performance and allocating resources (see Note 13). </w:t>
      </w:r>
      <w:r>
        <w:rPr>
          <w:rFonts w:ascii="Times New Roman" w:cs="Times New Roman" w:eastAsia="Times New Roman" w:hAnsi="Times New Roman"/>
          <w:sz w:val="18"/>
          <w:szCs w:val="18"/>
          <w:b w:val="1"/>
          <w:bCs w:val="1"/>
          <w:i w:val="1"/>
          <w:iCs w:val="1"/>
          <w:color w:val="auto"/>
        </w:rPr>
        <w:t>Concentrations of Credit Risk</w:t>
      </w:r>
    </w:p>
    <w:p>
      <w:pPr>
        <w:spacing w:after="0" w:line="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The Company maintains its cash balances at an accredited financial institution in amounts that, at times, may exceed federally insured limits. However, the Company has not experienced any losses on its deposits of cash.</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organizations to research, develop, manufacture, and process its potential product candidates for its development programs.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the consummation of an equity financing, these costs are recorded as a reduction of the proceeds from the offering, either as a reduction of the carrying value of the preferred stock or in stockholders’ deficit as a reduction of additional paid-in capital generated as a result of the offering. Should the in-process equity financing be abandoned, the deferred offering costs would be expensed immediately as a charge to operating expenses in the statement of operations and comprehensive loss. As of December 31, 2024, deferred offering costs of $0.8 million were recorded as Other assets in the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9"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prepaid expenses and other current assets, accounts payable and accrued expenses and other current liabilities approximate their fair values due to their relatively short maturity periods. The Company accounts for its Convertible Notes at amortized cost, which approximates fair value utilizing Level 2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has classified the Series Seed convertible preferred stock (the “Convertible Preferred Stock”) outside of stockholders’ deficit on the Company’s balance sheet because the holders of such stock have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liquidation rights in the event of a deemed liquidation event that, in certain situations, is not solely within the control of the Company and would require the redemption of the then-outstanding Convertible Preferred Stock.</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Convertible Preferred Stock is not redeemable, except in the event of deemed liquidation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Payable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accounted for the Convertible Note (as defined in Note 4) at amortized cost. The Company considered if optional conversion features are required to be bifurcated and separately accounted for as a derivative. Costs related to the issuance of the Convertible Note were recorded as a debt discount, amortized over the term of the Convertible Note (see Note 4) and were accounted for as interest expense in other income (expense), net within the statements of operations and comprehensive loss using the effective interest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Accruals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to date by vendors, including the Company’s related party Paragon (see Note 9), and contract manufacturing organizations (“CMOs”), and in future periods may involve contract research organizations (“CROs”).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accrues for expenses resulting from obligations under its discovery and option agreements (the “Option Agreements”) by and among the Company, Paragon and Parascent Holding LLC (“Parascent”), and agreements with CROs, CMOs, and other vendors for which payment flows may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invoices received,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other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December 31, 2024, the Company has not experienced any material deviations between accrued and actual research and development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salaries and bonuses, stock-based compensation, employee benefits, and external costs of vendors and consultants engaged to conduct research and development activities, which include amounts reimbursed to Paragon under the Paragon Option Agreements (as defined in Note 9).</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on the accompanying balance sheet. The prepaid amounts are expensed as the related goods are delivered or the services are performed, or when it is no longer expected that the goods will be delivered, or the services rendered. If nonrefundable advance payments represent a one-time cost for obtaining goods or services, with anticipated benefits to be utilized within a year of period end, the payment is expensed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bonuses, stock-based compensation, employee benefits, finance and administration costs, and professional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balance sheet. The Company does not accrue for contingent losses that, in its judgment, are considered to be reasonably possible, but not probable; however, it discloses the range of reasonably possible losses. As of December 31, 2024, no liabilities were recorded for loss contingencies (see Note 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 of operations and comprehensive loss in the same manner in which the award recipient’s payroll costs are classified or in which the award recipient’s service payments are classified.</w:t>
      </w:r>
    </w:p>
    <w:p>
      <w:pPr>
        <w:spacing w:after="0" w:line="10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 grants stock options and restricted stock awards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 based vesting conditions is recognized in the same manner as if the Company had paid cash in exchange for the goods or services, which is generally over the vesting period of the award. Forfeitures are accounted for as they occur. The Company has issued stock options and restricted common stock awards (“RSAs”) with service-based vesting conditions only.</w:t>
      </w:r>
    </w:p>
    <w:p>
      <w:pPr>
        <w:spacing w:after="0" w:line="1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non-employees in the form of stock options to purchase shares of its common stock, based on the fair value of the awards on the date of grant using the Black-Scholes option-pricing model. The Company measures RSAs using the difference, if any, between the purchase price per share of the award and the fair value of the Company’s common stock at the date of grant.</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common stock valuations were prepared using a hybrid method, including an option 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the Company had used significantly different assumptions or estimates, the fair value of incentive shares and stock-based compensation expense could have been materially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loss per share attributable to the Company’s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two-class method requires loss available to common stockholders for the period to be allocated between common and participating securities based upon their respective rights to share in the undistributed earnings as if all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Company’s common stockholders. There is no allocation required under the two-class method during periods of loss since the participating securities do not have a contractual obligation to share in the losses of the Company.</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the Company’s common stockholders by the weighted average number of common shares outstanding for the period, excluding potentially dilutive common shares.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by the weighted average number of common shares outstanding for the period, including potentially dilutive securities.</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this calculation, the Company’s outstanding Convertible Preferred Stock, Convertible Notes, stock options to purchase common stock and unvested RSAs are considered potentially dilutive common shares.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generated a net loss for the period presented.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had accrued no amounts for interest or penalties related to uncertain tax positions as of December 31, 2024. The Company did not have any uncertain tax positions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(“ASU 2023-07”), which enhances the segment disclosure requirements for public entities on an annual and interim basis. Under this proposal,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The Company adopted and applied the new disclosure requirements in these financial statements (see Note 13).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 Not Yet Adopted</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expands disclosures in an entity’s income tax rate reconciliation table and disclosures regarding taxes paid both in the U.S. and foreign jurisdictions. This update is effective beginning with the Company’s 2025 fiscal year annual reporting period. The Company is currently evaluating the impact of this standard on its financial statements.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Accrued interest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$341 as of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Convertible Notes Payable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into a Convertible Note Purchase Agreement (the “Note Purchase Agreement”) with a series of investors, pursuant to which the Company issued Convertible Notes with an initial principal amount of $37.5 million (of which $15.0 million is from a related party). The principal amount and all accrued interest of the Convertible Notes will automatically convert into the Company’s common stock or preferred stock in connection with the closing of a Next Equity Financing or other events (e.g., a sale of substantially all Company assets, a merger, etc.). The Convertible Notes accrue interest at a rate of 12.0% per annum, compounded annually. All unpaid interest and principal are scheduled to mature on December 31, 2026 (the “Maturity Date”). Prepayment is not permitted without the prior written consent of the majority of the holders of the Convertible Notes. The principal payment along with the accrued interest on each Convertible Note is due in full on the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Date. Pursuant to the Note Purchase Agreement, the Company has the right to sell and issue additional Convertible Notes up to an aggregate principal amount equal to $37.5 million, in addition to the $37.5 million of initial principal amount of the Convertible Note for a total aggregate principal amount of up to $75.0 million. As of December 31, 2024, the Company had outstanding borrowings of $37.5 million under its Convertible Notes.</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 the holders of the Convertible Notes have agreed to contribute such notes as consideration in exchange for shares of Crescent common stock and pre-funded warrants to purchase shares of Crescent common stock in the Crescent Pre-Closing Financing.</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assessed all terms and features of the Convertible Note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 including the conversion features related to a defaulting purchaser and highest interest rate, were not clearly and closely associated with a debt host. However, these features did not meet the definition of a derivative under ASC 815, Derivatives and Hedging, and as a result, did not require separate accounting as a derivative liability.</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paid debt issuance costs of less than $0.1 million in relation to the Convertible Note. The debt issuance costs are reflected as a reduction of the carrying value of Convertible Note on the Company’s balance sheet and are being amortized as interest expense over the term of the Convertible Note using the effective interest method. As of December 31, 2024, the Company recognized interest expense related to the Convertible Note of $0.9 million, which includes non-cash interest expense related to the amortization of debt issuance costs of less than $0.1 million. As of December 31, 2024, the weighted average effective interest rate of the Convertible Note was approximately 12.0%.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Preferred Stock</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September 19, 2024, the Company issued 20,000,000 shares of the Series Seed Convertible Preferred Stock to a related party, Fairmount Healthcare Fund II L.P., an affiliate fund of Fairmount, at a purchase price of $0.20 per share for gross proceeds of $4.0 million.</w:t>
      </w:r>
    </w:p>
    <w:p>
      <w:pPr>
        <w:spacing w:after="0" w:line="108"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Upon the issuance of the Convertible Preferred Stock, the Company assessed the embedded conversion and liquidation features of the securities as described below and determined that such features did not require the Company to separately account for these features as embedded derivatives.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Convertible Preferred Stock consisted of the following (in thousands, except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Preferred Stock Issued</w:t>
            </w:r>
          </w:p>
        </w:tc>
        <w:tc>
          <w:tcPr>
            <w:tcW w:w="16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Liquidation Preference</w:t>
            </w:r>
          </w:p>
        </w:tc>
        <w:tc>
          <w:tcPr>
            <w:tcW w:w="15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 Issuable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Upon Conversion</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Convertible Preferred Stock have the following rights and preferences: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same ranks junior to the Convertible Preferred Stock with respect to its rights), create shares that would rank senior to or authorize additional shares of Convertible Preferred Stock, declare a dividend or make a distribution.</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the holders of shares of Convertible Preferred Stock are entitled to elect one director of the Company. The holders of shares of common stock and any other class or series of voting stock (including Convertible Preferred Stock), exclusively and voting together as a single class, are entitled to elect the balance of the total number of directors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share of Convertible Preferred Stock is convertible into common shares at the option of the holder, at any time, and without the payment of additional consideration by the holder. Additionally, in the event of a Mandatory Conversion, such as the Merger, each share of Convertible Preferred Stock will be automatically converted into shares of newly created non-voting preferred stock at the applicable conversion ratio then in effect upon (i) the closing of a firm-commitment underwritten public offering of the Company’s common stock at a price of at least $1.00 per share resulting in at least $50.0 million of gross proceeds to the Company, net of the underwriting discount and commissions, and (ii) the vote or written consent of the holders of a majority of the outstanding shares of preferred stock, voting as a single class. The rights, privileges, duties and obligations relating to the non-voting preferred stock are to be determined at the time of a Mandatory Conversion.</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conversion ratio of Convertible Preferred Stock is determined by dividing the original issue price by the conversion price in effect at the time of conversion. The original issue price is $0.20 per share for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$0.20 per share for Series Seed Convertible Preferred Stock. As of December 31, 2024, each outstanding share of Convertible Preferred Stock was convertible into common stock on a ratio of 1-for-0.1445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as-converted basis or (ii) in the case of a dividend on any class or series that is not convertible into common stock, a dividend equal to a dividend rate on Convertible Preferred Stock calculated based on the respective original issue price of Series Seed Convertible Preferred Stock. Dividends are non-cumulative. For the period September 19, 2024 (inception) through December 31, 2024, no cash dividends had been declared or paid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ratably in any distribution of the assets or funds available for distribution in proportion to the respective amounts which would otherwise be payable if it were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Convertible Preferred Stock does not have redemption rights, except for the contingent redemption upon the occurrence of a Deemed Liquidation Event.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has the authority to issue a total of 40,000,000 shares of common stock at a par value of $0.001 per share (see Note 1 for discussion of adjustment to par value). As of December 31, 2024, 722,500 shares of common stock were issued and outstanding and 296,104 shares of common stock in connection with RSAs were issued and outstanding.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(the “Board of Directors”), subject to the preferential dividend rights of the holders of Convertible Preferred Stock.</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there are 3,972,893 shares of common stock reserved for issuance for the potential conversion of shares of Convertible Preferred Stock into common stock and the exercise of outstanding stock options for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19, 2024, the Board of Directors approved the 2024 Equity Incentive Plan (the “2024 Plan”), under which the Company may grant stock options, restricted stock awards, restricted stock units, or other stock-based awards to employees, officers, directors, consultants, and advisors. The 2024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2024 Plan generally vest over four years, subject to the participant’s continued service, and expire after ten years. Upon adoption, the 2024 Plan authorized 296,104 shares of common stock reserved for issuance under the plan. On December 11, 2024, the 2024 Plan was amended to increase the number of shares of common stock reserved for issuance by 957,023 shares. On December 27, 2024, the 2024 Plan was amended to increase the number of shares of common stock reserved for issuance by 105,706 shares. As of December 31, 2024, the total number of shares of common stock reserved for issuance under the 2024 Plan was 1,358,833, with 39,480 shares of common stock available for future grants. On December 11, 2024, the Board of Directors approved an award of stock options to an affiliate of a consultant outside of the 2024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the Black-Scholes option- 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20"/>
          </w:cols>
          <w:pgMar w:left="320" w:top="1440" w:right="359" w:bottom="1440" w:gutter="0" w:footer="0" w:header="0"/>
        </w:sectPr>
      </w:pPr>
    </w:p>
    <w:bookmarkStart w:id="195" w:name="page196"/>
    <w:bookmarkEnd w:id="195"/>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calculating the fair value of the awards for the period September 19, 2024 (inception) to December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 December</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7"/>
              </w:rPr>
              <w:t>5.8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96.7 %</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period from September 19, 2024 (inception) to December 31, 2024:</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5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4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as of September 19, 2024 (inception)</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1,082,893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7"/>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December 31, 2024</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1,082,893</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7"/>
                <w:szCs w:val="17"/>
                <w:color w:val="auto"/>
              </w:rPr>
            </w:pPr>
          </w:p>
        </w:tc>
        <w:tc>
          <w:tcPr>
            <w:tcW w:w="1560" w:type="dxa"/>
            <w:vAlign w:val="bottom"/>
          </w:tcPr>
          <w:p>
            <w:pPr>
              <w:ind w:left="1320"/>
              <w:spacing w:after="0" w:line="203" w:lineRule="exact"/>
              <w:rPr>
                <w:sz w:val="20"/>
                <w:szCs w:val="20"/>
                <w:color w:val="auto"/>
              </w:rPr>
            </w:pPr>
            <w:r>
              <w:rPr>
                <w:rFonts w:ascii="Times New Roman" w:cs="Times New Roman" w:eastAsia="Times New Roman" w:hAnsi="Times New Roman"/>
                <w:sz w:val="18"/>
                <w:szCs w:val="18"/>
                <w:color w:val="auto"/>
                <w:w w:val="97"/>
              </w:rPr>
              <w:t>9.9</w:t>
            </w:r>
          </w:p>
        </w:tc>
        <w:tc>
          <w:tcPr>
            <w:tcW w:w="100" w:type="dxa"/>
            <w:vAlign w:val="bottom"/>
          </w:tcPr>
          <w:p>
            <w:pPr>
              <w:spacing w:after="0"/>
              <w:rPr>
                <w:sz w:val="17"/>
                <w:szCs w:val="17"/>
                <w:color w:val="auto"/>
              </w:rPr>
            </w:pPr>
          </w:p>
        </w:tc>
        <w:tc>
          <w:tcPr>
            <w:tcW w:w="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7"/>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for the period September 19, 2024 (inception) to December 31, 2024 was $4.86. For the period from September 19, 2024 (inception) to December 31, 2024, there was no intrinsic value related to outstanding options.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September 2024 and October 2024, the Company issued a total of 296,104 RSAs to certain directors and consultants at a price of $1.38 per share, the fair value of the common stock. Of the 296,104 RSAs issued, 19,740 RSAs were issued to a consultant in exchange for regulatory and strategic services provided to the Company and 197,404 RSAs were issued to a consultant in exchange for executive services, and such issuances were determined to be related party transactions (see Note 12). The Company’s RSAs have service-based vesting conditions only and vest over a four-year period or vest upon grant, during which time all unvested shares are subject to forfeiture by the Company in the event the holder’s service with the Company voluntarily or involuntarily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RSA activity for the period from September 19, 2024 (inception) to December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RSAs</w:t>
            </w:r>
          </w:p>
        </w:tc>
        <w:tc>
          <w:tcPr>
            <w:tcW w:w="160" w:type="dxa"/>
            <w:vAlign w:val="bottom"/>
          </w:tcPr>
          <w:p>
            <w:pPr>
              <w:spacing w:after="0"/>
              <w:rPr>
                <w:sz w:val="13"/>
                <w:szCs w:val="13"/>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September 19, 2024 (inception)</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Parascent Warrant Obligation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Paragon Option Agreements, Parascent will be entitled to grants of warrants to purchase in the aggregate a number of shares equal to 1.00% of the then outstanding shares of the Company’s stock, on a fully diluted basis, on December 31, 2025 and December 31, 2026, at the fair market value determined by the Board of Directors (the “Parascent Warrant Obligation”). Parascent is an entity formed by Paragon as a vehicle to hold equity in the Company in order to share profits with certain employees of Paragon. The grant dates for the issuance of warrants are expected to be December 31, 2025 and December 31, 2026 as all terms of the award, including number of shares and exercise price, will be known by all parties. Parascent’s warrant has a service inception period for the grant preceding the grant date, with the full award being vested as of the grant date with no post-grant date service requirement. As of December 31, 2024, the estimated fair value of warrants to be granted on December 31, 2025 was $0.3 million. For the period from September 19, 2024 (inception) to December 31, 2024, $0.1 million was recognized as stock-based compensation expense related to the Parascent Warrant Obligation. The warrants expected to be granted to Parascent are liability-classified and after the initial recognition, the liability is adjusted to fair value using the Black-Scholes option-pricing model at the end of each reporting period, with changes in fair value recorded in the statement of operations and comprehensive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assumptions used in calculating the fair value of the awards for the period September 19, 2024 (inception)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37"/>
        </w:trPr>
        <w:tc>
          <w:tcPr>
            <w:tcW w:w="9680" w:type="dxa"/>
            <w:vAlign w:val="bottom"/>
          </w:tcPr>
          <w:p>
            <w:pPr>
              <w:spacing w:after="0"/>
              <w:rPr>
                <w:sz w:val="11"/>
                <w:szCs w:val="11"/>
                <w:color w:val="auto"/>
              </w:rPr>
            </w:pP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48"/>
        </w:trPr>
        <w:tc>
          <w:tcPr>
            <w:tcW w:w="968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 December</w:t>
            </w:r>
          </w:p>
        </w:tc>
      </w:tr>
      <w:tr>
        <w:trPr>
          <w:trHeight w:val="190"/>
        </w:trPr>
        <w:tc>
          <w:tcPr>
            <w:tcW w:w="96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0" w:type="dxa"/>
            <w:vAlign w:val="bottom"/>
          </w:tcPr>
          <w:p>
            <w:pPr>
              <w:spacing w:after="0"/>
              <w:rPr>
                <w:sz w:val="16"/>
                <w:szCs w:val="16"/>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96.3 %</w:t>
            </w:r>
          </w:p>
        </w:tc>
      </w:tr>
      <w:tr>
        <w:trPr>
          <w:trHeight w:val="22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shd w:val="clear" w:color="auto" w:fill="CCEEFF"/>
          </w:tcPr>
          <w:p>
            <w:pPr>
              <w:spacing w:after="0"/>
              <w:rPr>
                <w:sz w:val="19"/>
                <w:szCs w:val="19"/>
                <w:color w:val="auto"/>
              </w:rPr>
            </w:pPr>
          </w:p>
        </w:tc>
      </w:tr>
      <w:tr>
        <w:trPr>
          <w:trHeight w:val="21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the Company’s stock-based compensation expense in the statement of operations and comprehensive loss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8"/>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46"/>
        </w:trPr>
        <w:tc>
          <w:tcPr>
            <w:tcW w:w="9680" w:type="dxa"/>
            <w:vAlign w:val="bottom"/>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(Inception) to December</w:t>
            </w:r>
          </w:p>
        </w:tc>
      </w:tr>
      <w:tr>
        <w:trPr>
          <w:trHeight w:val="196"/>
        </w:trPr>
        <w:tc>
          <w:tcPr>
            <w:tcW w:w="9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the unvested stock options was $4.3 million, which is expected to be recognized over a weighted average period of approximately 3.9 years. As of December 31, 2024, total unrecognized compensation cost related to the unvested RSAs was $0.3 million, which is expected to be recognized over a weighted average period of 3.1 years. As of December 31, 2024, the unrecognized compensation cost related to the Parascent Warrant Obligation was $0.2 million, which is expected to be recognized over a weighted average period of 1.0 year.</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award types of the Company’s stock-based compensation expense in the statement of operations and comprehensive loss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c>
          <w:tcPr>
            <w:tcW w:w="0" w:type="dxa"/>
            <w:vAlign w:val="bottom"/>
          </w:tcPr>
          <w:p>
            <w:pPr>
              <w:spacing w:after="0"/>
              <w:rPr>
                <w:sz w:val="1"/>
                <w:szCs w:val="1"/>
                <w:color w:val="auto"/>
              </w:rPr>
            </w:pPr>
          </w:p>
        </w:tc>
      </w:tr>
      <w:tr>
        <w:trPr>
          <w:trHeight w:val="137"/>
        </w:trPr>
        <w:tc>
          <w:tcPr>
            <w:tcW w:w="9680" w:type="dxa"/>
            <w:vAlign w:val="bottom"/>
          </w:tcPr>
          <w:p>
            <w:pPr>
              <w:spacing w:after="0"/>
              <w:rPr>
                <w:sz w:val="11"/>
                <w:szCs w:val="11"/>
                <w:color w:val="auto"/>
              </w:rPr>
            </w:pPr>
          </w:p>
        </w:tc>
        <w:tc>
          <w:tcPr>
            <w:tcW w:w="15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 December</w:t>
            </w:r>
          </w:p>
        </w:tc>
        <w:tc>
          <w:tcPr>
            <w:tcW w:w="0" w:type="dxa"/>
            <w:vAlign w:val="bottom"/>
          </w:tcPr>
          <w:p>
            <w:pPr>
              <w:spacing w:after="0"/>
              <w:rPr>
                <w:sz w:val="1"/>
                <w:szCs w:val="1"/>
                <w:color w:val="auto"/>
              </w:rPr>
            </w:pP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RSA</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Parascent warrant obligation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96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Income Taxes</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Company’s statutory income tax rate to the Company’s effective income tax rate is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37"/>
        </w:trPr>
        <w:tc>
          <w:tcPr>
            <w:tcW w:w="9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56"/>
              <w:spacing w:after="0" w:line="137" w:lineRule="exact"/>
              <w:rPr>
                <w:sz w:val="20"/>
                <w:szCs w:val="20"/>
                <w:color w:val="auto"/>
              </w:rPr>
            </w:pPr>
            <w:r>
              <w:rPr>
                <w:rFonts w:ascii="Times New Roman" w:cs="Times New Roman" w:eastAsia="Times New Roman" w:hAnsi="Times New Roman"/>
                <w:sz w:val="14"/>
                <w:szCs w:val="14"/>
                <w:b w:val="1"/>
                <w:bCs w:val="1"/>
                <w:color w:val="auto"/>
              </w:rPr>
              <w:t>September 19, 2024</w:t>
            </w:r>
          </w:p>
        </w:tc>
        <w:tc>
          <w:tcPr>
            <w:tcW w:w="0" w:type="dxa"/>
            <w:vAlign w:val="bottom"/>
          </w:tcPr>
          <w:p>
            <w:pPr>
              <w:spacing w:after="0"/>
              <w:rPr>
                <w:sz w:val="1"/>
                <w:szCs w:val="1"/>
                <w:color w:val="auto"/>
              </w:rPr>
            </w:pPr>
          </w:p>
        </w:tc>
      </w:tr>
      <w:tr>
        <w:trPr>
          <w:trHeight w:val="148"/>
        </w:trPr>
        <w:tc>
          <w:tcPr>
            <w:tcW w:w="9680" w:type="dxa"/>
            <w:vAlign w:val="bottom"/>
          </w:tcPr>
          <w:p>
            <w:pPr>
              <w:spacing w:after="0"/>
              <w:rPr>
                <w:sz w:val="12"/>
                <w:szCs w:val="12"/>
                <w:color w:val="auto"/>
              </w:rPr>
            </w:pPr>
          </w:p>
        </w:tc>
        <w:tc>
          <w:tcPr>
            <w:tcW w:w="1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 December</w:t>
            </w:r>
          </w:p>
        </w:tc>
        <w:tc>
          <w:tcPr>
            <w:tcW w:w="0" w:type="dxa"/>
            <w:vAlign w:val="bottom"/>
          </w:tcPr>
          <w:p>
            <w:pPr>
              <w:spacing w:after="0"/>
              <w:rPr>
                <w:sz w:val="1"/>
                <w:szCs w:val="1"/>
                <w:color w:val="auto"/>
              </w:rPr>
            </w:pP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 consisted of the following (in thousands):</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September 19, 2024</w:t>
            </w:r>
          </w:p>
        </w:tc>
        <w:tc>
          <w:tcPr>
            <w:tcW w:w="0" w:type="dxa"/>
            <w:vAlign w:val="bottom"/>
          </w:tcPr>
          <w:p>
            <w:pPr>
              <w:spacing w:after="0"/>
              <w:rPr>
                <w:sz w:val="1"/>
                <w:szCs w:val="1"/>
                <w:color w:val="auto"/>
              </w:rPr>
            </w:pPr>
          </w:p>
        </w:tc>
      </w:tr>
      <w:tr>
        <w:trPr>
          <w:trHeight w:val="146"/>
        </w:trPr>
        <w:tc>
          <w:tcPr>
            <w:tcW w:w="9680" w:type="dxa"/>
            <w:vAlign w:val="bottom"/>
          </w:tcPr>
          <w:p>
            <w:pPr>
              <w:spacing w:after="0"/>
              <w:rPr>
                <w:sz w:val="12"/>
                <w:szCs w:val="12"/>
                <w:color w:val="auto"/>
              </w:rPr>
            </w:pPr>
          </w:p>
        </w:tc>
        <w:tc>
          <w:tcPr>
            <w:tcW w:w="15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(Inception) to December</w:t>
            </w:r>
          </w:p>
        </w:tc>
        <w:tc>
          <w:tcPr>
            <w:tcW w:w="0" w:type="dxa"/>
            <w:vAlign w:val="bottom"/>
          </w:tcPr>
          <w:p>
            <w:pPr>
              <w:spacing w:after="0"/>
              <w:rPr>
                <w:sz w:val="1"/>
                <w:szCs w:val="1"/>
                <w:color w:val="auto"/>
              </w:rPr>
            </w:pPr>
          </w:p>
        </w:tc>
      </w:tr>
      <w:tr>
        <w:trPr>
          <w:trHeight w:val="196"/>
        </w:trPr>
        <w:tc>
          <w:tcPr>
            <w:tcW w:w="9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-2502535</wp:posOffset>
            </wp:positionV>
            <wp:extent cx="1714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 had a federal net operating loss carryforwards of $2.0 million for the period from September 19, 2024 (inception) to December 31, 2024. The Company had state net operating loss carryforwards of less than $0.5 million for the period from September 19, 2024 (inception) to December 31, 2024. The federal net operating loss carryforwards may be carried forward indefinitely. The state net operating loss carryforwards begin to expire in 2044.</w:t>
      </w:r>
    </w:p>
    <w:p>
      <w:pPr>
        <w:spacing w:after="0" w:line="1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net operating loss carryforwards ultimately depends on the existence of sufficient taxable income within the carryforward period. As of December 31, 2024, the Company performed an evaluation to determine whether a valuation allowance was needed. The Company considered all available evidence, both positive and negative, which included the results of operations for the current year. The Company determined that it is more likely than not that all of the deferred tax assets will not be realized. Accordingly, the Company maintained a full valuation allowance as of December 31, 2024.</w:t>
      </w:r>
    </w:p>
    <w:p>
      <w:pPr>
        <w:spacing w:after="0" w:line="129"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For the period from September 19, 2024 (inception) to December 31, 2024, the valuation allowance increased primarily due to the increases in net operating loss carryforwards and research and development tax credit carryforwards. The changes in the valuation allowance were as follows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Valuation allowance as of September 19, 2024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Increases recorded to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Valuation allowance as of December 31, 2024</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4"/>
          <w:szCs w:val="14"/>
          <w:b w:val="1"/>
          <w:bCs w:val="1"/>
          <w:color w:val="auto"/>
        </w:rPr>
        <w:t>Period from</w:t>
      </w:r>
    </w:p>
    <w:p>
      <w:pPr>
        <w:ind w:left="168"/>
        <w:spacing w:after="0" w:line="209" w:lineRule="auto"/>
        <w:rPr>
          <w:sz w:val="20"/>
          <w:szCs w:val="20"/>
          <w:color w:val="auto"/>
        </w:rPr>
      </w:pPr>
      <w:r>
        <w:rPr>
          <w:rFonts w:ascii="Times New Roman" w:cs="Times New Roman" w:eastAsia="Times New Roman" w:hAnsi="Times New Roman"/>
          <w:sz w:val="14"/>
          <w:szCs w:val="14"/>
          <w:b w:val="1"/>
          <w:bCs w:val="1"/>
          <w:color w:val="auto"/>
        </w:rPr>
        <w:t>September 19, 2024</w:t>
      </w:r>
    </w:p>
    <w:p>
      <w:pPr>
        <w:jc w:val="center"/>
        <w:ind w:right="32"/>
        <w:spacing w:after="0" w:line="221" w:lineRule="auto"/>
        <w:rPr>
          <w:sz w:val="20"/>
          <w:szCs w:val="20"/>
          <w:color w:val="auto"/>
        </w:rPr>
      </w:pPr>
      <w:r>
        <w:rPr>
          <w:rFonts w:ascii="Times New Roman" w:cs="Times New Roman" w:eastAsia="Times New Roman" w:hAnsi="Times New Roman"/>
          <w:sz w:val="14"/>
          <w:szCs w:val="14"/>
          <w:b w:val="1"/>
          <w:bCs w:val="1"/>
          <w:color w:val="auto"/>
        </w:rPr>
        <w:t>(Inception) to December</w:t>
      </w:r>
    </w:p>
    <w:p>
      <w:pPr>
        <w:spacing w:after="0" w:line="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31, 2024</w:t>
      </w:r>
    </w:p>
    <w:p>
      <w:pPr>
        <w:spacing w:after="0" w:line="30" w:lineRule="exact"/>
        <w:rPr>
          <w:sz w:val="20"/>
          <w:szCs w:val="20"/>
          <w:color w:val="auto"/>
        </w:rPr>
      </w:pPr>
    </w:p>
    <w:p>
      <w:pPr>
        <w:ind w:left="1288" w:hanging="1288"/>
        <w:spacing w:after="0"/>
        <w:tabs>
          <w:tab w:leader="none" w:pos="12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3,940</w:t>
      </w:r>
    </w:p>
    <w:p>
      <w:pPr>
        <w:spacing w:after="0" w:line="31" w:lineRule="exact"/>
        <w:rPr>
          <w:sz w:val="20"/>
          <w:szCs w:val="20"/>
          <w:color w:val="auto"/>
        </w:rPr>
      </w:pPr>
    </w:p>
    <w:p>
      <w:pPr>
        <w:ind w:left="1068" w:hanging="1068"/>
        <w:spacing w:after="0"/>
        <w:tabs>
          <w:tab w:leader="none" w:pos="10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Cuts and Jobs Act of 2017 resulted in significant changes to the treatment of research and development expenditures under Section 174. For</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tax years beginning after the year ended December 31, 2021, taxpayers are required to capitalize and amortize all research and development expenditures that are paid or incurred in connection with its trade or business. Specifically, costs for U.S. based research and development activities must be amortized over five years using a midyear convention. For the period from September 19, 2024 (inception) to December 31, 2024, the Company capitalized $14.0 million of research and development expenses.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not completed a study to assess whether an ownership change has occurred or whether there have been multiple ownership changes since the Company became a loss corporation as defined in Section 382. Future changes in the Company’s capital ownership, which may be outside of the Company’s control, may trigger an ownership change. In addition, future equity offerings or acquisitions that have equity as a component of the purchase price could result in an ownership change. If an ownership change has occurred or does occur in the future, utilization of the net operating loss carryforwards or other tax attributes may be limited, which could potentially result in increased future tax liability for the Company.</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calculation of the Company’s tax liabilities involves dealing with uncertainties in the application of complex tax laws and regulations for both federal taxes and the many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Company’s current estimate of the unrecognized tax benefit liabilities. These differences will be reflected as increases or decreases to income tax expense in the period in which new information is available. For the period from September 19, 2024 (inception) to December 31, 2024, the Company has not recorded any uncertain tax positions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40" w:right="339" w:bottom="1440" w:gutter="0" w:footer="0" w:header="0"/>
          <w:type w:val="continuous"/>
        </w:sectPr>
      </w:pPr>
    </w:p>
    <w:bookmarkStart w:id="199" w:name="page200"/>
    <w:bookmarkEnd w:id="199"/>
    <w:p>
      <w:pPr>
        <w:spacing w:after="0" w:line="14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statement of operations. For the period from September 19, 2024 (inception) to December 31, 2024, no accrued interest or penalties are included on the related tax liability line in the balance sheet.</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inception.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Paragon Option Agreements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September 2024, Crescent entered into the Antibody Paragon Option Agreement with Paragon and Parascent for CR-001, with the selected targets PD-1 and VEGF. In October 2024, Crescent entered into the ADC Paragon Option Agreement with Paragon and Parascent for CR-002, with an undisclosed target (collectively the “Paragon Option Agreements”). Parascent is an entity formed by Paragon as a vehicle to hold equity in Crescent in order to share profits with certain employees of Paragon and will not perform any substantive role under the Paragon Option Agreements other than to receive such warrants. Under the Paragon Option Agreements, Crescent has the exclusive option (an “Option”), on a Research Program-by-Research Program basis, to enter into a separate agreement with Paragon consistent with a set of pre-negotiated terms (a “License Agreement”). If the Company exercises its Options and finalizes the related license agreements, it will be required to make non-refundable milestone payments to Paragon of up to $22.0 million for CR-001 and up to $46.0 million for CR-002 upon the achievement of certain clinical development and regulatory milestones, as well as tiered royalty payments in the low-to-mid single-digits beginning on the first commercial sale of each developed product. From time to time, the Company can choose to add additional targets by mutual agreement with Paragon.</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terms of the Paragon Option Agreements, Paragon agreed to perform certain research activities to discover, generate, identify, and characterize one or more antibody candidates, in the case of the Antibody Paragon Option Agreement, and one or more antibody drug conjugates, in the case of the ADC Paragon Option Agreement, directed to certain mutually agreed therapeutic targets of interest to Crescent (each, a “Research Program”). The Paragon Option Agreements require Crescent, Paragon, and Parascent to develop a research plan for each target that includes design, modeling, synthesis, evaluation, and other mutually agreed activities (each, a “Research Plan”), which activities primarily include performing preclinical studies. Paragon will perform the activities set forth in each Research Plan on the timelines set forth in such Research Plan and in compliance with a mutually agreed budget. Each Research Program will be overseen and coordinated by a joint development committee consisting of two employees from Crescent and two employees from Paragon, with Crescent and Paragon each having one vote with respect to decisions of the committee. When Paragon and Parascent have produced an antibody or ADC, as applicable, against a selected target, and upon the completion of each Research Program, Paragon and Parascent will deliver to Crescent a data package that includes sequence information for all then-existing antibodies or ADCs, as applicable, and information directed to such target.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terminated earlier, the Paragon Option Agreements shall continue in force on a Research Program- by-Research Program basis until the later of:</w:t>
      </w:r>
    </w:p>
    <w:p>
      <w:pPr>
        <w:spacing w:after="0" w:line="27" w:lineRule="exact"/>
        <w:rPr>
          <w:sz w:val="20"/>
          <w:szCs w:val="20"/>
          <w:color w:val="auto"/>
        </w:rPr>
      </w:pPr>
    </w:p>
    <w:p>
      <w:pPr>
        <w:ind w:firstLine="8"/>
        <w:spacing w:after="0" w:line="251" w:lineRule="auto"/>
        <w:tabs>
          <w:tab w:leader="none" w:pos="2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option period for such Research Program, as applicable, if such Option is not exercised by the Company; (ii) if the Company exercises its Option with respect to a Research Program, but the parties are unable to finalize and execute a License Agreement within 30 days, the expiration of such 30-day period (subject to any mutually agreed extension of such period); and (iii) the expiration of the applicable Research Term (as defined under the Paragon Option Agreements).The Company may terminate the Paragon Option Agreements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Paragon may terminate the Paragon Option Agreements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Option Agreements or any Research Program upon (i) 30 days’ prior written notice of the other party’s material breach that remains uncured for the 30-day period and (ii) the other party’s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Antibody Paragon Option Agreement, Crescent was required to reimburse Paragon $1.5 million for upfront research and development costs related to CR-001 and other general and administrative costs incurred by Paragon prior to September 19, 2024. Contemporaneously, Crescent also issued an aggregate of 722,500 shares of Crescent common stock to Paragon for an aggregate non-cash upfront consideration of Paragon’s entry into the Antibody Paragon Option Agreement, valued at $1.38 per share for a total of $1.0 million. Paragon subsequently contributed 361,250 of such shares to Parascent. Of these upfront development costs related to CR-001 incurred by Paragon prior to September 19, 2024, a total of $1.5 million was recognized as research and development expense and less than $0.1 million was recognized as general and administrative expense during the period from September 19, 2024 (inception) to December 31, 2024. Crescent paid $1.5 million to Paragon in November 2024. The non-cash upfront consideration was recorded as research and development expense in Crescent’s statement of operations and comprehensive loss during the period from September 19, 2024 (inception) to December 31, 2024 as related IP license fees associated with entering into the Option Agreement. Crescent is also required to pay Paragon for certain development fees and costs on a Research Program-by-Research Program basis. Under the Antibody Paragon Option Agreement, Crescent is also responsible for certain additional development costs incurred by Paragon, which from September 19, 2024 (inception) to December 31, 2024, totaled $4.7 million, and of which $4.6 million was recognized as research and development expense and $0.1 million was recognized as general and administrative expense in Crescent’s statements of operations and comprehensive loss for the period from September 19, 2024 (inception) to December 31, 2024. An amount of $6.2 million is included in related party accounts payable and other current liabilities within Crescent’s balance sheet as of December 31, 2024. Under the Antibody Paragon Option Agreement, Crescent is obligated to pay Paragon $1.3 million following finalization of the research plan for CR-001, which was paid in December 2024. Crescent also paid a $1.5 million milestone payment to Paragon in January 2025 in connection with the selection of a development candidate for CR-001.</w:t>
      </w:r>
    </w:p>
    <w:p>
      <w:pPr>
        <w:spacing w:after="0" w:line="1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Through December 31, 2024, Crescent incurred a total of $10.5 million of research and development expenses for CR-001, of which $5.2 million and $4.7 million was paid to Paragon in 2024 and 2025, respectively. The remaining $0.6 million of research and development expenses was directly incurred by Crescent and accrued on Crescent’s balance sheet as of December 31, 2024. The remaining $0.6 million of research and development expense remains accrued as of the date of this filing.</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ADC Paragon Option Agreement, the Company is required to reimburse Paragon $0.8 million for development costs related to CR-002 incurred by Paragon through December 31, 2024, which $0.8 million was recognized as research and development expense and less than $0.1 million was recognized in general and administrative expense in the Company’s statement of operations and comprehensive loss during the period from September 19, 2024 (inception) to December 31, 2024. An amount of $0.8 million is included in related party accounts payable and other current liabilities as of December 31, 2024 for development costs related to CR-002. In addition, the Company is obligated to pay Paragon $2.5 million following the finalization of the research plan, which was paid in December 2024, and which was recognized as research and development expense in the Company’s statement of operations and comprehensive loss during the period September 19, 2024 (inception) to December 31, 2024, as well as for subsequent development costs related to CR-002. No pre-development costs were incurred for CR-002 for periods prior to September 19, 2024 (inception).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31, 2024, Crescent incurred a total of $3.3 million of development expenses for CR-002, which was paid to Paragon in January 2025.</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License Agreement entered into with respect to a given Research Program shall contain the same milestone payment obligations as the Paragon Option Agreements, provided that any milestone set in the Paragon Option Agreements that has not yet been achieved and is duplicated in such License Agreement shall no longer be achievable and payable under the terms of the Paragon Option Agreements and shall only be achievable under the terms of the License Agreement. For the avoidance of doubt, if a milestone is achieved and paid by Crescent pursuant to the Paragon Option Agreements for a certain Research Program, then there shall be no milestone payment due for the achievement of such milestone under a subsequently executed License Agreement for such Research Program. Further, under a License Agreement, Crescent would also be required to make royalty payments to Paragon in the low single-digit percentage range based on net sales of products, subject to certain reductions. The royalty term will terminate on a product-by-product and country- by-country basis upon the later of the expiration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last-to-expire valid claim within the relevant patent rights or the twelfth anniversary of the first commercial sale of such product in such country.</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as part of the Paragon Option Agreements, on each of December 31, 2025 and December 31, 2026, Crescent will grant Parascent warrants to purchase an aggregate number of shares equal to 1.00% of Crescent’s outstanding capital stock as of the date of the grant on a fully-diluted basis, with an exercise price equal to the fair market value of the underlying shares of Crescent common stock on each respective grant date. The warrants are liability-classified and after the initial recognition, the liability is adjusted to fair value at the end of each reporting period, with changes in fair value recorded in the statement of operations and comprehensive loss (see Note 7).</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expenses the fees incurred under the Paragon Option Agreements as the associated costs are incurred when the underlying services are rendered. Such amounts are classified within research and development expenses and general and administrative expenses in the accompanying statement of operations and comprehensive loss.</w:t>
      </w:r>
    </w:p>
    <w:p>
      <w:pPr>
        <w:spacing w:after="0" w:line="12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concluded that the rights obtained under the Paragon Option Agreements represent an asset acquisition whereby the underlying assets comprise in-process research and development assets with no alternative future use. The Paragon Option Agreements did not qualify as a business combination because substantially all of the fair value of the assets acquired was concentrated in the exclusive license options, which represent a group of similar identifiable assets.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Paragon Option Agreements that associated with services being rendered under the related Research Programs is recognized as research and development expense when incurred.</w:t>
      </w:r>
    </w:p>
    <w:p>
      <w:pPr>
        <w:spacing w:after="0" w:line="1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period from September 19, 2024 (inception) to December 31, 2024, the Company recognized $13.2 million of research and development expenses in connection with services provided by Paragon under the Paragon Option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Matching contributions to the 401(k) Plan may be made at the discretion of management. For the period from September 19, 2024 (inception) to December 31, 2024, the Company has not recorded any expense related to 401(k) Plan match contributions.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financial statements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2024, the Company was not a party to any material legal proceedings or claims.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6"/>
        </w:trPr>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37"/>
        </w:trPr>
        <w:tc>
          <w:tcPr>
            <w:tcW w:w="9680" w:type="dxa"/>
            <w:vAlign w:val="bottom"/>
          </w:tcPr>
          <w:p>
            <w:pPr>
              <w:spacing w:after="0"/>
              <w:rPr>
                <w:sz w:val="11"/>
                <w:szCs w:val="11"/>
                <w:color w:val="auto"/>
              </w:rPr>
            </w:pP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(Inception) to December</w:t>
            </w:r>
          </w:p>
        </w:tc>
      </w:t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9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767,580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computation of basic net loss per share attributable to common stockholders, the amount of weighted-average common shares outstanding excludes all shares of unvested restricted common stock as such shares are not considered outstanding for accounting purposes until vested.</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37"/>
        </w:trPr>
        <w:tc>
          <w:tcPr>
            <w:tcW w:w="96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19, 2024</w:t>
            </w:r>
          </w:p>
        </w:tc>
      </w:tr>
      <w:tr>
        <w:trPr>
          <w:trHeight w:val="148"/>
        </w:trPr>
        <w:tc>
          <w:tcPr>
            <w:tcW w:w="96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 December</w:t>
            </w:r>
          </w:p>
        </w:tc>
      </w:tr>
      <w:tr>
        <w:trPr>
          <w:trHeight w:val="190"/>
        </w:trPr>
        <w:tc>
          <w:tcPr>
            <w:tcW w:w="96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246,753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1,082,893</w:t>
            </w:r>
          </w:p>
        </w:tc>
      </w:tr>
      <w:tr>
        <w:trPr>
          <w:trHeight w:val="223"/>
        </w:trPr>
        <w:tc>
          <w:tcPr>
            <w:tcW w:w="96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4,219,646</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Fairmount, Paragon, and Parascent have been identified as related parties of Crescent and have engaged in material transactions with the Company. At December 31, 2024, Fairmount, Paragon, and Parascent owned approximately 74%, 9%, and 9%, respectively, of the outstanding shares of stock of Crescent, assuming the conversion of preferred stock into common stock. Fairmount currently has two representatives appointed to Crescent’s Board of Directors. Fairmount appointed Paragon’s board of directors and has the contractual right to approve the appointment of any executive officers of Paragon. Parascent is an entity formed by Paragon as a vehicle to hold equity in Crescent in order to share profits with certain employees of Paragon and will not perform any substantive role under the Paragon Option Agreements other than to receive warrants granted to Parascent under the Paragon Option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the Company issued and sold an aggregate of 20,000,000 shares of Series Seed Preferred Stock to Fairmount, at a purchase price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$0.20 per share, for gross proceeds of $4.0 million (see Note 5). In October 2024, Fairmount entered into the Note Purchase Agreement with the Company and holds a Convertible Note with an initial principal amount of $15.0 million (see Note 4).</w:t>
      </w:r>
    </w:p>
    <w:p>
      <w:pPr>
        <w:spacing w:after="0" w:line="1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October 11, 2024, the Board of Directors issued 19,740 RSAs to a consultant in exchange for regulatory and strategic services provided to the Company. The consultant is an employee of Fairmount. On October 11, 2024, the Board of Directors issued the Company’s Chief Executive Officer 197,404 RSAs and options to purchase 763,913 shares of Crescent common stock, and the CEO paid $0.2 million for 148,053 of such RSAs. The Chief Executive Officer is also a Fairmount employee.</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services provided by Paragon and Parascent under the Paragon Option Agreements, the Company recognized $13.2 million of expenses as research and development expense and recognized $0.1 million of expenses as general and administrative expense in the Company’s statement of operations and comprehensive loss for the period from September 19, 2024 (inception) to December 31, 2024. As of December 31, 2024, the Company had $7.2 million in related party accounts payable pertaining to services provided by Paragon and Parascent under the Paragon Option Agreements and reimbursements of recruiting and start-up fees included in other current liabilities on the balance sheet. In addition, under the terms of the Paragon Option Agreements, Parascent will be entitled to grants of warrants to purchase an aggregate number of shares equal to 1.00% of outstanding shares of the Company’s common stock, on a fully diluted basis, as of the date of the grants (see Note 7). If the Company exercises its options under the Paragon Option Agreements, it will be required to make non-refundable milestone payments to Paragon of up to $12.0 million for CR-001 and $26.0 million for CR-002 upon the achievement of certain clinical development milestones, up to $10.0 million for CR-001 and $20.0 million for CR-002 upon the achievement of certain regulatory milestones, as well as tiered royalty payments in the low-to-mid single-digits beginning on the first commercial sale of each product developed.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related party accounts payable and other current liabilities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Paragon reimbursable Option Agreement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Paragon reimbursable recruiting and start-up fees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has one reportable segment relating to the research and development of its research programs, CR-001 and CR-002. The Company’s CODM, its Chief Executive Officer, manages the Company’s operations on a company wide basis for the allocation of resources and the assessment of performance. The Company’s measure of segment profit or loss used to assess performance and allocate resources is consolidated net loss and comprehensive loss.</w:t>
      </w:r>
    </w:p>
    <w:p>
      <w:pPr>
        <w:spacing w:after="0" w:line="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Although the Company’s financial reporting package that is reviewed and approved by the CODM disaggregates significant expenses such as program-level external research and development costs, personnel costs, including stock-based compensation expense, and professional and consulting fees, all decisions made by the CODM are based upon reviewing operating metrics and performance indications at the Company-wide consolidated level. The CODM uses consolidated net loss to evaluate loss generated from the Company’s business activities in deciding how to allocate company resources and monitoring budget versus actual results. Assets are also managed on a Company-wide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summary of the segment loss, including significant segment expenses (in thousands):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CR-001 external research and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CR-002 external research and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General and administrative personnel costs (including stock-based compensation expense)</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Research and development personnel costs (including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Professional and consulting fees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 including interest expense and miscellaneous other expense offset by interest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4"/>
          <w:szCs w:val="14"/>
          <w:b w:val="1"/>
          <w:bCs w:val="1"/>
          <w:color w:val="auto"/>
        </w:rPr>
        <w:t>Period from</w:t>
      </w:r>
    </w:p>
    <w:p>
      <w:pPr>
        <w:ind w:left="168"/>
        <w:spacing w:after="0" w:line="209" w:lineRule="auto"/>
        <w:rPr>
          <w:sz w:val="20"/>
          <w:szCs w:val="20"/>
          <w:color w:val="auto"/>
        </w:rPr>
      </w:pPr>
      <w:r>
        <w:rPr>
          <w:rFonts w:ascii="Times New Roman" w:cs="Times New Roman" w:eastAsia="Times New Roman" w:hAnsi="Times New Roman"/>
          <w:sz w:val="14"/>
          <w:szCs w:val="14"/>
          <w:b w:val="1"/>
          <w:bCs w:val="1"/>
          <w:color w:val="auto"/>
        </w:rPr>
        <w:t>September 19, 2024</w:t>
      </w:r>
    </w:p>
    <w:p>
      <w:pPr>
        <w:jc w:val="center"/>
        <w:ind w:right="12"/>
        <w:spacing w:after="0" w:line="221" w:lineRule="auto"/>
        <w:rPr>
          <w:sz w:val="20"/>
          <w:szCs w:val="20"/>
          <w:color w:val="auto"/>
        </w:rPr>
      </w:pPr>
      <w:r>
        <w:rPr>
          <w:rFonts w:ascii="Times New Roman" w:cs="Times New Roman" w:eastAsia="Times New Roman" w:hAnsi="Times New Roman"/>
          <w:sz w:val="14"/>
          <w:szCs w:val="14"/>
          <w:b w:val="1"/>
          <w:bCs w:val="1"/>
          <w:color w:val="auto"/>
        </w:rPr>
        <w:t>(Inception) to December</w:t>
      </w:r>
    </w:p>
    <w:p>
      <w:pPr>
        <w:spacing w:after="0" w:line="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31, 2024</w:t>
      </w:r>
    </w:p>
    <w:p>
      <w:pPr>
        <w:spacing w:after="0" w:line="43" w:lineRule="exact"/>
        <w:rPr>
          <w:sz w:val="20"/>
          <w:szCs w:val="20"/>
          <w:color w:val="auto"/>
        </w:rPr>
      </w:pPr>
    </w:p>
    <w:p>
      <w:pPr>
        <w:ind w:left="988" w:hanging="988"/>
        <w:spacing w:after="0"/>
        <w:tabs>
          <w:tab w:leader="none" w:pos="9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10,510</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3,251</w:t>
      </w:r>
    </w:p>
    <w:p>
      <w:pPr>
        <w:spacing w:after="0" w:line="22"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pacing w:after="0" w:line="22"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1,981</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w:t>
      </w:r>
    </w:p>
    <w:p>
      <w:pPr>
        <w:spacing w:after="0" w:line="31" w:lineRule="exact"/>
        <w:rPr>
          <w:sz w:val="20"/>
          <w:szCs w:val="20"/>
          <w:color w:val="auto"/>
        </w:rPr>
      </w:pPr>
    </w:p>
    <w:p>
      <w:pPr>
        <w:ind w:left="988" w:hanging="988"/>
        <w:spacing w:after="0"/>
        <w:tabs>
          <w:tab w:leader="none" w:pos="9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035" w:lineRule="exact"/>
        <w:rPr>
          <w:sz w:val="20"/>
          <w:szCs w:val="20"/>
          <w:color w:val="auto"/>
        </w:rPr>
      </w:pPr>
    </w:p>
    <w:p>
      <w:pPr>
        <w:sectPr>
          <w:pgSz w:w="11900" w:h="16838" w:orient="portrait"/>
          <w:cols w:equalWidth="0" w:num="2">
            <w:col w:w="8972" w:space="720"/>
            <w:col w:w="1528"/>
          </w:cols>
          <w:pgMar w:left="320" w:top="1440" w:right="3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and transactions occurring subsequent to December 31, 2024 through February 18, 2025, the date at which the financial statements are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20"/>
          </w:cols>
          <w:pgMar w:left="320" w:top="1440" w:right="359" w:bottom="1440" w:gutter="0" w:footer="0" w:header="0"/>
          <w:type w:val="continuous"/>
        </w:sectPr>
      </w:pPr>
    </w:p>
    <w:bookmarkStart w:id="205" w:name="page206"/>
    <w:bookmarkEnd w:id="20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Convertible Preferred Shares, and Shareholders’ Equity (Deficit)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Notes payable, noncurrent</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shares: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Series Seed convertible preferred shares, $0.0001 par value; no shares and 20,000,000 shares authorized as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of September 30, 2025 and December 31, 2024, respectively; no shares and 20,000,000 shares issued and</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400"/>
              <w:spacing w:after="0" w:line="181" w:lineRule="exact"/>
              <w:rPr>
                <w:sz w:val="20"/>
                <w:szCs w:val="20"/>
                <w:color w:val="auto"/>
              </w:rPr>
            </w:pPr>
            <w:r>
              <w:rPr>
                <w:rFonts w:ascii="Times New Roman" w:cs="Times New Roman" w:eastAsia="Times New Roman" w:hAnsi="Times New Roman"/>
                <w:sz w:val="18"/>
                <w:szCs w:val="18"/>
                <w:color w:val="auto"/>
              </w:rPr>
              <w:t>outstanding as of September 30, 2025 and December 31, 2024, respectively; liquidation preference of $</w:t>
            </w:r>
          </w:p>
        </w:tc>
        <w:tc>
          <w:tcPr>
            <w:tcW w:w="2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and $4,000 as of September 30, 2025 and December 31, 2024, respectively</w:t>
            </w:r>
          </w:p>
        </w:tc>
        <w:tc>
          <w:tcPr>
            <w:tcW w:w="2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Series A non-voting convertible preferred shares, $0.001 par value; 5,000,000 shares and no shares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authorized as of September 30, 2025 and December 31, 2024, respectively; 2,890 shares and no shares</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September 30, 2025 and December 31, 2024, respectively</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Ordinary shares, $0.001 par value; 175,000,000 and 40,000,000 shares authorized as of September 30,</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2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2025 and December 31, 2024, respectively, 13,892,516 and 1,018,604 shares issued and outstanding as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September 30, 2025 and December 31, 2024,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convertible preferred shares, and shareholders’ equity (deficit)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$341 as of December 31, 2024.</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$14,993 as of December 31,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1240"/>
          </w:cols>
          <w:pgMar w:left="320" w:top="1440" w:right="339" w:bottom="1440" w:gutter="0" w:footer="0" w:header="0"/>
          <w:type w:val="continuous"/>
        </w:sectPr>
      </w:pPr>
    </w:p>
    <w:bookmarkStart w:id="206" w:name="page207"/>
    <w:bookmarkEnd w:id="20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1420" w:type="dxa"/>
            <w:vAlign w:val="bottom"/>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loss per share attributable to Series A non-voting convertible preferred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8" w:lineRule="exact"/>
        <w:rPr>
          <w:sz w:val="20"/>
          <w:szCs w:val="20"/>
          <w:color w:val="auto"/>
        </w:rPr>
      </w:pPr>
    </w:p>
    <w:p>
      <w:pPr>
        <w:ind w:left="180" w:right="160" w:hanging="161"/>
        <w:spacing w:after="0" w:line="237" w:lineRule="auto"/>
        <w:rPr>
          <w:sz w:val="20"/>
          <w:szCs w:val="20"/>
          <w:color w:val="auto"/>
        </w:rPr>
      </w:pPr>
      <w:r>
        <w:rPr>
          <w:rFonts w:ascii="Times New Roman" w:cs="Times New Roman" w:eastAsia="Times New Roman" w:hAnsi="Times New Roman"/>
          <w:sz w:val="18"/>
          <w:szCs w:val="18"/>
          <w:color w:val="auto"/>
        </w:rPr>
        <w:t>Weighted-average ordinary shares outstanding used in computing net loss per share to ordinary shareholders,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right="60" w:hanging="161"/>
        <w:spacing w:after="0" w:line="222" w:lineRule="auto"/>
        <w:rPr>
          <w:sz w:val="20"/>
          <w:szCs w:val="20"/>
          <w:color w:val="auto"/>
        </w:rPr>
      </w:pPr>
      <w:r>
        <w:rPr>
          <w:rFonts w:ascii="Times New Roman" w:cs="Times New Roman" w:eastAsia="Times New Roman" w:hAnsi="Times New Roman"/>
          <w:sz w:val="18"/>
          <w:szCs w:val="18"/>
          <w:color w:val="auto"/>
        </w:rPr>
        <w:t>Weighted-average Series A non-voting convertible preferred shares outstanding used in computing net loss per share to Series A non-voting convertible preferred</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shareholders, basic and diluted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1720" w:val="left"/>
          <w:tab w:leader="none" w:pos="3520" w:val="left"/>
        </w:tabs>
        <w:rPr>
          <w:sz w:val="20"/>
          <w:szCs w:val="20"/>
          <w:color w:val="auto"/>
        </w:rPr>
      </w:pPr>
      <w:r>
        <w:rPr>
          <w:rFonts w:ascii="Times New Roman" w:cs="Times New Roman" w:eastAsia="Times New Roman" w:hAnsi="Times New Roman"/>
          <w:sz w:val="18"/>
          <w:szCs w:val="18"/>
          <w:color w:val="auto"/>
        </w:rPr>
        <w:t>16,540,771</w:t>
      </w:r>
      <w:r>
        <w:rPr>
          <w:sz w:val="20"/>
          <w:szCs w:val="20"/>
          <w:color w:val="auto"/>
        </w:rPr>
        <w:tab/>
      </w:r>
      <w:r>
        <w:rPr>
          <w:rFonts w:ascii="Times New Roman" w:cs="Times New Roman" w:eastAsia="Times New Roman" w:hAnsi="Times New Roman"/>
          <w:sz w:val="18"/>
          <w:szCs w:val="18"/>
          <w:color w:val="auto"/>
        </w:rPr>
        <w:t>6,640,402</w:t>
      </w:r>
      <w:r>
        <w:rPr>
          <w:sz w:val="20"/>
          <w:szCs w:val="20"/>
          <w:color w:val="auto"/>
        </w:rPr>
        <w:tab/>
      </w:r>
      <w:r>
        <w:rPr>
          <w:rFonts w:ascii="Times New Roman" w:cs="Times New Roman" w:eastAsia="Times New Roman" w:hAnsi="Times New Roman"/>
          <w:sz w:val="17"/>
          <w:szCs w:val="17"/>
          <w:color w:val="auto"/>
        </w:rPr>
        <w:t>730,092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43180</wp:posOffset>
            </wp:positionV>
            <wp:extent cx="31032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67" w:lineRule="exact"/>
        <w:rPr>
          <w:sz w:val="20"/>
          <w:szCs w:val="20"/>
          <w:color w:val="auto"/>
        </w:rPr>
      </w:pPr>
    </w:p>
    <w:p>
      <w:pPr>
        <w:ind w:left="400"/>
        <w:spacing w:after="0"/>
        <w:tabs>
          <w:tab w:leader="none" w:pos="2040" w:val="left"/>
          <w:tab w:leader="none" w:pos="3860" w:val="left"/>
        </w:tabs>
        <w:rPr>
          <w:sz w:val="20"/>
          <w:szCs w:val="20"/>
          <w:color w:val="auto"/>
        </w:rPr>
      </w:pPr>
      <w:r>
        <w:rPr>
          <w:rFonts w:ascii="Times New Roman" w:cs="Times New Roman" w:eastAsia="Times New Roman" w:hAnsi="Times New Roman"/>
          <w:sz w:val="18"/>
          <w:szCs w:val="18"/>
          <w:color w:val="auto"/>
        </w:rPr>
        <w:t>2,890</w:t>
      </w:r>
      <w:r>
        <w:rPr>
          <w:sz w:val="20"/>
          <w:szCs w:val="20"/>
          <w:color w:val="auto"/>
        </w:rPr>
        <w:tab/>
      </w:r>
      <w:r>
        <w:rPr>
          <w:rFonts w:ascii="Times New Roman" w:cs="Times New Roman" w:eastAsia="Times New Roman" w:hAnsi="Times New Roman"/>
          <w:sz w:val="18"/>
          <w:szCs w:val="18"/>
          <w:color w:val="auto"/>
        </w:rPr>
        <w:t>1,160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17145</wp:posOffset>
            </wp:positionV>
            <wp:extent cx="3103245"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03245" cy="3429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6380" w:space="720"/>
            <w:col w:w="41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59"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$6,175 and $21,244 for the three and nine months ended September 30, 2025, respectively, and $2,473 for the period from September 19, 2024 (inception) through September 30, 2024.</w:t>
      </w:r>
    </w:p>
    <w:p>
      <w:pPr>
        <w:ind w:left="340" w:right="160" w:hanging="332"/>
        <w:spacing w:after="0" w:line="261"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$89 and $719 for the three and nine months ended September 30, 2025, respectively, and $90 for the period from September 19, 2024 (inception) through September 30, 2024.</w:t>
      </w:r>
    </w:p>
    <w:p>
      <w:pPr>
        <w:ind w:left="320" w:hanging="312"/>
        <w:spacing w:after="0"/>
        <w:tabs>
          <w:tab w:leader="none" w:pos="3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$865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type w:val="continuous"/>
        </w:sectPr>
      </w:pPr>
    </w:p>
    <w:bookmarkStart w:id="207" w:name="page208"/>
    <w:bookmarkEnd w:id="20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SHARES AND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500" w:type="dxa"/>
            <w:vAlign w:val="bottom"/>
          </w:tcPr>
          <w:p>
            <w:pPr>
              <w:spacing w:after="0"/>
              <w:rPr>
                <w:sz w:val="24"/>
                <w:szCs w:val="24"/>
                <w:color w:val="auto"/>
              </w:rPr>
            </w:pPr>
          </w:p>
        </w:tc>
        <w:tc>
          <w:tcPr>
            <w:tcW w:w="2080" w:type="dxa"/>
            <w:vAlign w:val="bottom"/>
            <w:tcBorders>
              <w:right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24"/>
                <w:szCs w:val="24"/>
                <w:color w:val="auto"/>
              </w:rPr>
            </w:pPr>
          </w:p>
        </w:tc>
        <w:tc>
          <w:tcPr>
            <w:tcW w:w="164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Series A Non-Voting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291"/>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20" w:type="dxa"/>
            <w:vAlign w:val="bottom"/>
            <w:tcBorders>
              <w:bottom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Borders>
              <w:bottom w:val="single" w:sz="8" w:color="auto"/>
            </w:tcBorders>
            <w:gridSpan w:val="3"/>
          </w:tcPr>
          <w:p>
            <w:pPr>
              <w:jc w:val="center"/>
              <w:ind w:left="129"/>
              <w:spacing w:after="0" w:line="115" w:lineRule="exact"/>
              <w:rPr>
                <w:sz w:val="20"/>
                <w:szCs w:val="20"/>
                <w:color w:val="auto"/>
              </w:rPr>
            </w:pPr>
            <w:r>
              <w:rPr>
                <w:rFonts w:ascii="Times New Roman" w:cs="Times New Roman" w:eastAsia="Times New Roman" w:hAnsi="Times New Roman"/>
                <w:sz w:val="13"/>
                <w:szCs w:val="13"/>
                <w:b w:val="1"/>
                <w:bCs w:val="1"/>
                <w:color w:val="auto"/>
              </w:rPr>
              <w:t>Preferred Shares</w:t>
            </w: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Borders>
              <w:bottom w:val="single" w:sz="8" w:color="auto"/>
            </w:tcBorders>
            <w:gridSpan w:val="4"/>
          </w:tcPr>
          <w:p>
            <w:pPr>
              <w:ind w:left="340"/>
              <w:spacing w:after="0" w:line="11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1"/>
        </w:trPr>
        <w:tc>
          <w:tcPr>
            <w:tcW w:w="15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24"/>
        </w:trPr>
        <w:tc>
          <w:tcPr>
            <w:tcW w:w="15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 September</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center"/>
              <w:ind w:right="5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19, 2024 (Inception)</w:t>
            </w:r>
          </w:p>
        </w:tc>
        <w:tc>
          <w:tcPr>
            <w:tcW w:w="10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959,384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93"/>
        </w:trPr>
        <w:tc>
          <w:tcPr>
            <w:tcW w:w="1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Series Seed</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convertible preferred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3"/>
        </w:trPr>
        <w:tc>
          <w:tcPr>
            <w:tcW w:w="1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expense</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0" w:type="dxa"/>
            <w:vAlign w:val="bottom"/>
          </w:tcPr>
          <w:p>
            <w:pPr>
              <w:spacing w:after="0"/>
              <w:rPr>
                <w:sz w:val="1"/>
                <w:szCs w:val="1"/>
                <w:color w:val="auto"/>
              </w:rPr>
            </w:pPr>
          </w:p>
        </w:tc>
      </w:tr>
      <w:tr>
        <w:trPr>
          <w:trHeight w:val="119"/>
        </w:trPr>
        <w:tc>
          <w:tcPr>
            <w:tcW w:w="15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 September</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20,000,000</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760" w:type="dxa"/>
            <w:vAlign w:val="bottom"/>
            <w:vMerge w:val="restart"/>
          </w:tcPr>
          <w:p>
            <w:pPr>
              <w:jc w:val="center"/>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959,384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30, 2024</w:t>
            </w: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2100" w:type="dxa"/>
            <w:vAlign w:val="bottom"/>
            <w:tcBorders>
              <w:right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80" w:type="dxa"/>
            <w:vAlign w:val="bottom"/>
          </w:tcPr>
          <w:p>
            <w:pPr>
              <w:spacing w:after="0"/>
              <w:rPr>
                <w:sz w:val="12"/>
                <w:szCs w:val="12"/>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Series A Non-Voting Preferred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left="6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tcPr>
          <w:p>
            <w:pPr>
              <w:ind w:left="380"/>
              <w:spacing w:after="0" w:line="135" w:lineRule="exact"/>
              <w:rPr>
                <w:sz w:val="20"/>
                <w:szCs w:val="20"/>
                <w:color w:val="auto"/>
              </w:rPr>
            </w:pPr>
            <w:r>
              <w:rPr>
                <w:rFonts w:ascii="Times New Roman" w:cs="Times New Roman" w:eastAsia="Times New Roman" w:hAnsi="Times New Roman"/>
                <w:sz w:val="12"/>
                <w:szCs w:val="12"/>
                <w:b w:val="1"/>
                <w:bCs w:val="1"/>
                <w:color w:val="auto"/>
              </w:rPr>
              <w:t>Ordinary Shares</w:t>
            </w:r>
            <w:r>
              <w:rPr>
                <w:rFonts w:ascii="Times New Roman" w:cs="Times New Roman" w:eastAsia="Times New Roman" w:hAnsi="Times New Roman"/>
                <w:sz w:val="15"/>
                <w:szCs w:val="15"/>
                <w:b w:val="1"/>
                <w:bCs w:val="1"/>
                <w:color w:val="auto"/>
                <w:vertAlign w:val="superscript"/>
              </w:rPr>
              <w:t>(2)</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jc w:val="center"/>
              <w:ind w:right="280"/>
              <w:spacing w:after="0" w:line="48" w:lineRule="exact"/>
              <w:rPr>
                <w:sz w:val="20"/>
                <w:szCs w:val="20"/>
                <w:color w:val="auto"/>
              </w:rPr>
            </w:pPr>
            <w:r>
              <w:rPr>
                <w:rFonts w:ascii="Times New Roman" w:cs="Times New Roman" w:eastAsia="Times New Roman" w:hAnsi="Times New Roman"/>
                <w:sz w:val="5"/>
                <w:szCs w:val="5"/>
                <w:b w:val="1"/>
                <w:bCs w:val="1"/>
                <w:color w:val="auto"/>
              </w:rPr>
              <w:t>Paid-in</w:t>
            </w: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jc w:val="right"/>
              <w:ind w:right="19"/>
              <w:spacing w:after="0" w:line="48" w:lineRule="exact"/>
              <w:rPr>
                <w:sz w:val="20"/>
                <w:szCs w:val="20"/>
                <w:color w:val="auto"/>
              </w:rPr>
            </w:pPr>
            <w:r>
              <w:rPr>
                <w:rFonts w:ascii="Times New Roman" w:cs="Times New Roman" w:eastAsia="Times New Roman" w:hAnsi="Times New Roman"/>
                <w:sz w:val="5"/>
                <w:szCs w:val="5"/>
                <w:b w:val="1"/>
                <w:bCs w:val="1"/>
                <w:color w:val="auto"/>
              </w:rPr>
              <w:t>Total Shareholders'</w:t>
            </w: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8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80" w:type="dxa"/>
            <w:vAlign w:val="bottom"/>
          </w:tcPr>
          <w:p>
            <w:pPr>
              <w:spacing w:after="0"/>
              <w:rPr>
                <w:sz w:val="15"/>
                <w:szCs w:val="15"/>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08"/>
        </w:trPr>
        <w:tc>
          <w:tcPr>
            <w:tcW w:w="1500" w:type="dxa"/>
            <w:vAlign w:val="bottom"/>
            <w:tcBorders>
              <w:top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Balance as of December 31,</w:t>
            </w: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20,000,000</w:t>
            </w: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1,018,604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(17,867)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(15,479)</w:t>
            </w:r>
          </w:p>
        </w:tc>
        <w:tc>
          <w:tcPr>
            <w:tcW w:w="0" w:type="dxa"/>
            <w:vAlign w:val="bottom"/>
          </w:tcPr>
          <w:p>
            <w:pPr>
              <w:spacing w:after="0"/>
              <w:rPr>
                <w:sz w:val="1"/>
                <w:szCs w:val="1"/>
                <w:color w:val="auto"/>
              </w:rPr>
            </w:pPr>
          </w:p>
        </w:tc>
      </w:tr>
      <w:tr>
        <w:trPr>
          <w:trHeight w:val="122"/>
        </w:trPr>
        <w:tc>
          <w:tcPr>
            <w:tcW w:w="15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Early exercise of stock</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8"/>
              </w:rPr>
              <w:t>(15,148)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(15,148)</w:t>
            </w:r>
          </w:p>
        </w:tc>
        <w:tc>
          <w:tcPr>
            <w:tcW w:w="0" w:type="dxa"/>
            <w:vAlign w:val="bottom"/>
          </w:tcPr>
          <w:p>
            <w:pPr>
              <w:spacing w:after="0"/>
              <w:rPr>
                <w:sz w:val="1"/>
                <w:szCs w:val="1"/>
                <w:color w:val="auto"/>
              </w:rPr>
            </w:pPr>
          </w:p>
        </w:tc>
      </w:tr>
      <w:tr>
        <w:trPr>
          <w:trHeight w:val="107"/>
        </w:trPr>
        <w:tc>
          <w:tcPr>
            <w:tcW w:w="1500" w:type="dxa"/>
            <w:vAlign w:val="bottom"/>
            <w:tcBorders>
              <w:top w:val="single" w:sz="8" w:color="CCEEFF"/>
            </w:tcBorders>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Balance as of March 31,</w:t>
            </w: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20,000,000</w:t>
            </w: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(33,015)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(30,161)</w:t>
            </w:r>
          </w:p>
        </w:tc>
        <w:tc>
          <w:tcPr>
            <w:tcW w:w="0" w:type="dxa"/>
            <w:vAlign w:val="bottom"/>
          </w:tcPr>
          <w:p>
            <w:pPr>
              <w:spacing w:after="0"/>
              <w:rPr>
                <w:sz w:val="1"/>
                <w:szCs w:val="1"/>
                <w:color w:val="auto"/>
              </w:rPr>
            </w:pPr>
          </w:p>
        </w:tc>
      </w:tr>
      <w:tr>
        <w:trPr>
          <w:trHeight w:val="102"/>
        </w:trPr>
        <w:tc>
          <w:tcPr>
            <w:tcW w:w="150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Repurchase and cancellation</w:t>
            </w:r>
          </w:p>
        </w:tc>
        <w:tc>
          <w:tcPr>
            <w:tcW w:w="8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5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7"/>
              </w:rPr>
              <w:t>of restricted stock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Exchange of Series Seed</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convertible preferred</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rPr>
              <w:t>stock for Series A non-</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voting convertible</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preferred shares upon the</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rPr>
              <w:t>closing of the reverse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(20,000,000)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recapitalization</w:t>
            </w:r>
          </w:p>
        </w:tc>
        <w:tc>
          <w:tcPr>
            <w:tcW w:w="8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convertible</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notes (including accrued</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auto"/>
              </w:rPr>
              <w:t>interest) into ordinary</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shares and pre-funded</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7"/>
              </w:rPr>
              <w:t>warrants upon the closing</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auto"/>
              </w:rPr>
              <w:t>of the reverse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1,850,790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40,513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40,515</w:t>
            </w:r>
          </w:p>
        </w:tc>
        <w:tc>
          <w:tcPr>
            <w:tcW w:w="0" w:type="dxa"/>
            <w:vAlign w:val="bottom"/>
          </w:tcPr>
          <w:p>
            <w:pPr>
              <w:spacing w:after="0"/>
              <w:rPr>
                <w:sz w:val="1"/>
                <w:szCs w:val="1"/>
                <w:color w:val="auto"/>
              </w:rPr>
            </w:pPr>
          </w:p>
        </w:tc>
      </w:tr>
      <w:tr>
        <w:trPr>
          <w:trHeight w:val="170"/>
        </w:trPr>
        <w:tc>
          <w:tcPr>
            <w:tcW w:w="1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recapitalization</w:t>
            </w: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ordinary shares</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and pre-funded warrants</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rPr>
              <w:t>in the Pre-Closing</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10,504,926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159,464</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159,475</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financing</w:t>
            </w:r>
          </w:p>
        </w:tc>
        <w:tc>
          <w:tcPr>
            <w:tcW w:w="8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Issuance costs of Pre-closing</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financing and reverse</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recapitalization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(17,201)</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ordinary shares</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to former shareholders of</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w w:val="95"/>
              </w:rPr>
              <w:t>GLYC in connection with</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w w:val="99"/>
              </w:rPr>
              <w:t>the closing of the reverse</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recapitalization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645,274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4,068</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(21,790)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(21,790)</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as of June 30, 2025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13,892,516</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190,045</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8"/>
              </w:rPr>
              <w:t>(54,805)</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139,254</w:t>
            </w: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0" w:type="dxa"/>
            <w:vAlign w:val="bottom"/>
          </w:tcPr>
          <w:p>
            <w:pPr>
              <w:spacing w:after="0"/>
              <w:rPr>
                <w:sz w:val="1"/>
                <w:szCs w:val="1"/>
                <w:color w:val="auto"/>
              </w:rPr>
            </w:pPr>
          </w:p>
        </w:tc>
      </w:tr>
      <w:tr>
        <w:trPr>
          <w:trHeight w:val="170"/>
        </w:trPr>
        <w:tc>
          <w:tcPr>
            <w:tcW w:w="1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gridSpan w:val="2"/>
          </w:tcPr>
          <w:p>
            <w:pPr>
              <w:spacing w:after="0"/>
              <w:rPr>
                <w:sz w:val="14"/>
                <w:szCs w:val="14"/>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8"/>
              </w:rPr>
              <w:t>(24,607)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(24,607)</w:t>
            </w:r>
          </w:p>
        </w:tc>
        <w:tc>
          <w:tcPr>
            <w:tcW w:w="0" w:type="dxa"/>
            <w:vAlign w:val="bottom"/>
          </w:tcPr>
          <w:p>
            <w:pPr>
              <w:spacing w:after="0"/>
              <w:rPr>
                <w:sz w:val="1"/>
                <w:szCs w:val="1"/>
                <w:color w:val="auto"/>
              </w:rPr>
            </w:pPr>
          </w:p>
        </w:tc>
      </w:tr>
      <w:tr>
        <w:trPr>
          <w:trHeight w:val="107"/>
        </w:trPr>
        <w:tc>
          <w:tcPr>
            <w:tcW w:w="150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Balance as of September 30,</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13,892,516</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192,039</w:t>
            </w: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(79,412)</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116,641</w:t>
            </w: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2025</w:t>
            </w:r>
          </w:p>
        </w:tc>
        <w:tc>
          <w:tcPr>
            <w:tcW w:w="840" w:type="dxa"/>
            <w:vAlign w:val="bottom"/>
            <w:vMerge w:val="continue"/>
            <w:shd w:val="clear" w:color="auto" w:fill="CCEEFF"/>
          </w:tcPr>
          <w:p>
            <w:pPr>
              <w:spacing w:after="0"/>
              <w:rPr>
                <w:sz w:val="15"/>
                <w:szCs w:val="15"/>
                <w:color w:val="auto"/>
              </w:rPr>
            </w:pPr>
          </w:p>
        </w:tc>
        <w:tc>
          <w:tcPr>
            <w:tcW w:w="360" w:type="dxa"/>
            <w:vAlign w:val="bottom"/>
            <w:gridSpan w:val="3"/>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issuance of 236,884 restricted stock awards (see Note 9)</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issuance of 296,104 restricted stock awards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September 19, 2024</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98"/>
        </w:trPr>
        <w:tc>
          <w:tcPr>
            <w:tcW w:w="844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5"/>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(61,545)</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Non-cash interest expense</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research and development expense related to Paragon option agreement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Pre-Closing Financing,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acquired in connection with the reverse recapitalization</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early exercise of options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Repurchase of equity awards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133,372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operating and financing activities:</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arising from obtaining operating right-of-use asset</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in connection with the reverse recapitalization</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assumed in connection with the reverse recapitalization</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 included in accounts payable and accrued expenses</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 principal and non-cash accrued interest converted to ordinary shares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exchange of Pre-Merger Crescent Series Seed Preferred Stock for Series A Non-Voting Convertible</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$2,027, which is classified as a liability, for the nine months ended September 30,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$865 for the nine months ended September 30,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240"/>
          </w:cols>
          <w:pgMar w:left="320" w:top="1440" w:right="339" w:bottom="1440" w:gutter="0" w:footer="0" w:header="0"/>
          <w:type w:val="continuous"/>
        </w:sectPr>
      </w:pPr>
    </w:p>
    <w:bookmarkStart w:id="210" w:name="page211"/>
    <w:bookmarkEnd w:id="21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CRESCENT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Basis of Presentation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Crescent Biopharma, Inc., together with its subsidiaries (collectively “Crescent” or the “Company”), formerly known as GlycoMimetics, Inc. (“GlycoMimetics”), is a biotechnology company that is the result of the reverse recapitalization discussed below. Prior to the reverse recapitalization, the private company Crescent Biopharma, Inc. (“Pre-Merger Crescent”) was established and incorporated under the laws of the state of Delaware on September 19, 2024. The Company was founded to research and develop cancer therapy candidates licensed from Paragon Therapeutics, Inc. (“Paragon”), an antibody discovery engine founded by Fairmount Funds Management LLC (“Fairmount”). The Company is based in Waltham, Massachusetts and was formed to develop therapies for the treatment of solid tumors.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reflect, in the opinion of management, all adjustments of a normal and recurring nature that are necessary for a fair statement of the Company’s financial position as of September 30, 2025, its results of operations for the three and nine months ended September 30, 2025 and for the period from September 19, 2024 (inception) through September 30, 2024, and its cash flows for the nine months ended September 30, 2025 and for the period from September 19, 2024 (inception) through September 30, 2024. The condensed balance sheet as of December 31, 2024, included in the condensed consolidated balance sheets was derived from the Company’s audited financial statements. The condensed consolidated financial statements and accompanying notes are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financial statements.</w:t>
      </w:r>
    </w:p>
    <w:p>
      <w:pPr>
        <w:spacing w:after="0" w:line="138"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2025 are not necessarily indicative of results expected for the full fiscal year or any subsequent interim period. The condensed consolidated financial statements include the financial statements of its wholly-owned subsidiaries. All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 and Pre-Closing Financing</w:t>
      </w:r>
    </w:p>
    <w:p>
      <w:pPr>
        <w:spacing w:after="0" w:line="17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June 13, 2025 (the “Closing Date”), the Company consummated the transaction (the “Closing”) pursuant to that certain Agreement and Plan of Merger and Reorganization, dated as of October 28, 2024, which agreement was subsequently amended on February 14, 2025 and April 28, 2025 (as amended, the “Merger Agreement”), by and among GlycoMimetics, Gemini Merger Sub Corp., a Delaware corporation and wholly owned subsidiary of GlycoMimetics (“First Merger Sub”), Gemini Merger Sub II, LLC, a Delaware limited liability company and wholly owned subsidiary of GlycoMimetics (“Second Merger Sub”), and Pre-Merger Crescent. As part of the Closing, First Merger Sub merged with and into Pre-Merger Crescent, with Pre-Merger Crescent surviving as a wholly owned subsidiary of GlycoMimetics and the surviving corporation of the merger (the “First Merger”), and, immediately following the First Merger and as part of the same overall transaction, Pre-Merger Crescent merged with and into Second Merger Sub, with Second Merger Sub being the surviving entity of the merger (the “Second Merger” and, together with the First Merger, the “Merger”). Second Merger Sub changed its corporate name to “Crescent Biopharma Operating Company, LLC” and GlycoMimetics changed its name to “Crescent Biopharma, Inc.” The combined company is led by Pre-Merger Crescent’s management team and remains focused on developing novel therapies designed to set a new standard for treatment of solid tumors.</w:t>
      </w:r>
    </w:p>
    <w:p>
      <w:pPr>
        <w:spacing w:after="0" w:line="12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accordance with an exchange ratio determined in accordance with the terms of the Merger Agreement (the “Exchange Ratio”), at the effective time of the First Merger (the “First Effective Time”), (i) each then-outstanding share of Pre-Merger Crescent common stock (including shares of Pre-Merger Crescent common stock issued in connection with the Crescent Pre-Closing Financing) was converted into the right to receive a number of shares of GlycoMimetics common stock equal to the Exchange Ratio, (ii) each then-outstanding share of Pre-Merger Crescent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20"/>
          </w:cols>
          <w:pgMar w:left="320" w:top="1440" w:right="359" w:bottom="1440" w:gutter="0" w:footer="0" w:header="0"/>
        </w:sectPr>
      </w:pPr>
    </w:p>
    <w:bookmarkStart w:id="211" w:name="page212"/>
    <w:bookmarkEnd w:id="211"/>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Series Seed Preferred Stock, par value $0.0001 per share (the “Series Seed Preferred Stock”), was converted into the right to receive a number of shares of GlycoMimetics Series A non-voting convertible preferred stock, par value $0.001 per share (the “Series A Preferred Stock”), equal to the Exchange Ratio divided by 1,000, (iii) each then-outstanding option to purchase Pre-Merger Crescent common stock was assumed by GlycoMimetics and was converted into an option to purchase shares of GlycoMimetics common stock, (iv) each then-outstanding Pre-Merger Crescent restricted stock unit was assumed by GlycoMimetics, and (v) each then-outstanding pre-funded warrant to purchase shares of Pre-Merger Crescent common stock was converted into a pre-funded warrant to purchase shares of GlycoMimetics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Ratio was calculated as 0.1445 shares of GlycoMimetics common stock for each share of Pre-Merger Crescent common stock (and</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0.0001445 shares of Series A Preferred Stock for each share of Pre-Merger Crescent Series Seed Preferred Stock) on the Closing Date, which gives effect to a 1-for-100 reverse stock split of GlycoMimetics common stock immediately prior to the Merger. The par value per share and the number of authorized shares were not adjusted as a result of the Exchange Ratio. The shares of the Company’s common stock underlying outstanding stock options, restricted stock units, restricted stock awards, and other equity instruments were proportionately reduced and the respective exercise prices, if applicable, were proportionately increased in accordance with the terms of the agreements governing such securities. All references to common stock, options to purchase common stock, common stock share data, per share data, and related information contained in the condensed consolidated financial statements have been retrospectively adjusted to reflect the effect of the Exchange Ratio for all periods presented, unless otherwise specifically indicated or the context otherwise requires.</w:t>
      </w:r>
    </w:p>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Immediately prior to the completion of the Merger, and in order to provide Crescent with additional capital for its development programs, Pre-Merger Crescent issued and sold, and certain new and current investors purchased, 85,506,824 shares of common stock of Pre-Merger Crescent and 19,149,690 Pre-Merger Crescent pre-funded warrants, exercisable for 19,149,690 shares of Pre-Merger Crescent common stock, at an estimated purchase price of $1.9110 per share or an estimated purchase price of $1.9109 per warrant, for the aggregate amount of $200.0 million, which includes $37.5 million of proceeds previously received from the issuance of the Convertible Notes (as defined herein) and accrued interest of $3.0 million on such Convertible Notes and the related conversion into 21,200,564 shares of Pre-Merger Crescent common stock and pre-funded warrants in connection with the Crescent Pre-Closing Financing. At the Closing of the Merger, based on the Exchange Ratio, the Pre-Merger Crescent common stock and pre-funded warrants subscribed for were converted into the right to receive 12,355,716 shares of common stock and 2,767,122 pre-funded warrants. Shares of Pre-Merger Crescent common stock and pre-funded warrants to purchase shares of Crescent common stock issued pursuant to the Subscription Agreement were converted into shares of GlycoMimetics common stock and pre-funded warrants to purchase shares of GlycoMimetics common stock at Closing per the Merger Agreement.</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Under this method of accounting, Pre-Merger Crescent was deemed to be the accounting acquirer for financial reporting purposes. This determination was primarily based on the fact that, immediately following the Merger: (i) Pre-Merger Crescent stockholders own a substantial majority of the voting rights in the combined company; (ii) Pre-Merger Crescent’s largest stockholders retain the largest interest in the combined company; (iii) Pre-Merger Crescent designated a majority of the initial members of the board of directors of the combined company; and (iv) Pre-Merger Crescent’s executive management team became the management team of the combined company. Accordingly, for accounting purposes: (i) the Merger was treated as the equivalent of Pre-Merger Crescent issuing stock to acquire the net assets of GlycoMimetics, and (ii) the reported historical operating results of the combined company prior to the Merger are those of Pre-Merger Crescent. Additional information regarding the Merger is included in Note 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Redomestication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16, 2025, Crescent changed its jurisdiction of incorporation from the State of Delaware to the Cayman Islands (the “Redomestication”) pursuant to a plan of conversion (the “Plan of Conversion”). The Redomestication became effective on June 16, 2025 and was accomplished by the filing of (i) a Certificate of Conversion with the Secretary of State of the State of Delaware and (ii) the requisite documents required under section 201 of the Companies Act (as amended) of the Cayman Islands (the “Companies Act”), as well as the Cayman Islands memorandum and articles of association of the Company (the “Articles”), with the Cayman Islands Registrar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20"/>
          </w:cols>
          <w:pgMar w:left="320" w:top="1440" w:right="359" w:bottom="1440" w:gutter="0" w:footer="0" w:header="0"/>
        </w:sectPr>
      </w:pPr>
    </w:p>
    <w:bookmarkStart w:id="212" w:name="page213"/>
    <w:bookmarkEnd w:id="212"/>
    <w:p>
      <w:pPr>
        <w:spacing w:after="0" w:line="140"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Companies. For purposes of these condensed consolidated financial statements, references to “Crescent Delaware” mean Crescent prior to the Redomestication.</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Upon the Redomestication, among other things: (i) each outstanding share of common stock, par value $0.001 per share, of Crescent Delaware automatically converted into one ordinary share, par value $0.001 per share, of the Company; (ii) each outstanding share of Series A Non-Voting Convertible Preferred Stock, par value $0.001 per share, of Crescent Delaware automatically converted into one share of Series A Non-Voting Convertible Preferred Share, par value $0.001 per share, of the Company (the “Series A Preferred Shares”); (iii) each outstanding option to purchase shares of common stock of Crescent Delaware automatically converted into an option to purchase ordinary shares of the Company; (iv) each outstanding restricted stock unit of Crescent Delaware automatically converted into a restricted stock unit of the Company; and (v) each warrant to purchase shares of common stock of Crescent Delaware automatically converted into a warrant to purchase ordinary shares of the Company.</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rights of holders of ordinary shares of the Company are now governed by the Company's memorandum and articles of association and Cayman Islands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to finance its operating activities through a combination of equity offerings and debt financings.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not generated any revenue from product sales or other sources and has incurred significant operating losses and negative cash flows from operations since inception. The Company has incurred net losses of $24.6 million and $61.5 million during the three and nine months ended September 30, 2025, respectively, and has an accumulated deficit of $79.4 million at September 30, 2025. For the nine months ended September 30, 2025, the Company used net cash of $44.8 million for its operating activities.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 had cash and cash equivalents of $133.3 million. The Company’s management expects that the existing cash will be sufficient to fund the Company’s operating plans for at least twelve months from the date these condensed consolidated financial statements were issued. 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U.S. GAAP requires management to make estimates, assumptions, and judgments that affect the reported amounts of assets and liabilities and the disclosure of contingent assets and liabilities at the date of the financial statements and the reported amounts of expenses during the reporting periods. Significant estimates and assumptions reflected within these financial statements include but are not limited to research and development expenses and any applicable prepaid or accrued costs and the valuation of share-based compensation awards and related expenses. The Company bases its estimates on known trends and other market-specific or other relevant factors that it believes to be reasonable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circumstances. On an ongoing basis, management evaluates its estimates, as there are changes in circumstances, facts, and experience. Actual results may differ materially from those estimates or assumptions.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a single segment for the purposes of assessing performance and making operating decisions. The Company’s chief executive officer, who is the chief operating decision maker (the “CODM”), reviews the Company’s financial information for purposes of evaluating financial performance and allocating resources (see Note 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cash equivalents, and restricted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its cash balances at multiple accredited financial institutions in amounts that, at times, may exceed federally insured limits.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has not experienced any losses on its deposits of cash.</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organizations to research, develop, manufacture, and process its potential product candidates for its development programs.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11).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9"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prepaid expenses and other current assets, accounts payable, and accrued expenses and other current liabilities approximate their fair values due to their relatively short maturity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(Years)</w:t>
            </w:r>
          </w:p>
        </w:tc>
      </w:tr>
      <w:tr>
        <w:trPr>
          <w:trHeight w:val="23"/>
        </w:trPr>
        <w:tc>
          <w:tcPr>
            <w:tcW w:w="562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Shorter of the lease life or 10</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Shares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reverse recapitalization, the Company had classified its Pre-Merger Crescent Series Seed Preferred Stock (the “Convertible Preferred Stock”) outside of stockholders’ equity (deficit) on the Company’s condensed 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the closing of the Merger, the Company converted its Pre-Merger Crescent Series Seed Preferred Stock to Series A Preferred Shares and has classified the Series A Preferred Shares within shareholders’ equity (deficit) on its condensed consolidated balance sheet because the Series A Preferred Shares is not redeemable or puttable to the Company by the holder under any circumstances.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Payable</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accounted for the Convertible Note (as defined in Note 7) at amortized cost. The Company considered if optional conversion features are required to be bifurcated and separately accounted for as a derivative. Costs related to the issuance of the Convertible Note were recorded as a debt discount, amortized over the term of the Convertible Note (see Note 7) and were accounted for as interest expense in other income (expense) within the condensed consolidated statement of operations and comprehensive loss using the effective interest method. At the effective time of the Merger, shares of Pre-Merger Crescent common stock and pre-funded warrants issued pursuant to the conversion of the Convertible Notes (including accrued interest) automatically converted into shares of Crescent common stock and pre-funded warrants (see Note 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Accruals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to date by vendors, including the Company’s related party Paragon (see Note 11), contract manufacturing organizations (“CMOs”), and contract research organizations (“CROs”).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accrues for expenses resulting from obligations under its discovery and option agreements (the “Option Agreements”) by and among the Company, Paragon and Parascent Holding LLC (“Parascent”), and agreements with CROs, CMOs, and other vendors for which payment flows may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other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September 30, 2025, the Company has not experienced any material deviations between accrued and actual research and development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the lease commencement date, when control of the underlying asset is transferred from the lessor to the Company, the Company classifies a lease as either an operating or finance lease and recognizes a right-of-use (“ROU”) asset and a current and non-current lease liability, as applicable, in the balance sheet if the lease has a term greater than one year. Lease terms may include options to extend or terminate the lease when it is reasonably certain that the Company will exercise its option.</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the lease commencement date, operating lease liabilities and their corresponding ROU assets are recorded at the present value of future minimum lease payments over the expected remaining lease term.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80"/>
          </w:cols>
          <w:pgMar w:left="320" w:top="1440" w:right="399" w:bottom="1440" w:gutter="0" w:footer="0" w:header="0"/>
        </w:sectPr>
      </w:pPr>
    </w:p>
    <w:bookmarkStart w:id="215" w:name="page216"/>
    <w:bookmarkEnd w:id="215"/>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determines the present value of lease payments using the implicit rate, if readily determinable, or the incremental borrowing rate. The incremental borrowing rate is estimated based on the rate the Company would have to pay on a collateralized basis over a similar term as the lease.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September 30, 2025, the Company has one operating lease and no finance leases.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accounts for lease and non-lease components related to operating leases as a single lease component. The Company has elected that costs associated with leases having an initial term of 12 months or less are recognized in the condensed consolidated statement of operations and comprehensive loss on a straight-line basis over the lease term and are not recorded on its condensed consolidated balance sheets. Variable lease expense is recognized as incurred and consists primarily of utilities and other office space related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salaries and bonuses, share-based compensation, employee benefits, and external costs of vendors and consultants engaged to conduct research and development activities, which include amounts reimbursed to Paragon under the Paragon Option Agreements (as defined in Note 11).</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on the accompanying condensed consolidated balance sheet. The prepaid amounts are expensed as the related goods are delivered or the services are performed, or when it is no longer expected that the goods will be delivered, or the services rendered.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bonuses, share-based compensation, employee benefits, finance and administration costs, and professional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condensed consolidated balance sheet. The Company does not accrue for contingent losses that, in its judgment, are considered to be reasonably possible, but not probable; however, it discloses the range of reasonably possible losses. As of September 30, 2025, no liabilities were recorded for loss contingencies (see Note 13).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classifies share-based compensation expense in its condensed consolidated statement of operations and comprehensive loss in the same manner in which the award recipient’s payroll costs are classified or in which the award recipient’s service payments are classified.</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grants stock options, restricted stock awards (“RSAs”), and restricted stock units (“RSUs”)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Forfeitures are accounted for as they occur. The Company has issued stock options, RSAs, and RSUs with service-based vesting conditions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measures all share-based awards granted to employees, directors, and non-employees in the form of stock options to purchase shares of its ordinary shares based on the fair value of the awards on the date of grant using the Black-Scholes option-pricing model. The Black-Scholes option-pricing model uses as inputs the fair value of the Company’s ordinary shares and certain management estimates,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Company selects companies with comparable characteristics with historical share price information that approximates the expected term of the equity-based awards. The Company computes the historical volatility data using the daily closing prices for the selected companies’ shares during the equivalent period that approximates the calculated expected term of the stock options. The Company will continue to apply this method until a sufficient amount of historical information regarding the volatility of its share price becomes available. The risk-free interest rate is based on the U.S. Treasury yield curve in effect at the time of grant commensurate with the expected term assumption. For employee and non-employee awards the Company uses the simplified method, under which the expected term is presumed to be the midpoint between the vesting date and the end of the contractual term. The Company utilizes this method due to lack of historical exercise data. The expected dividend yield is assumed to be zero as the Company has no current plans to pay any dividends on ordinary shares.</w:t>
      </w:r>
    </w:p>
    <w:p>
      <w:pPr>
        <w:spacing w:after="0" w:line="13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RSAs and RSUs using the difference, if any, between the purchase price per share of the award and the fair value of the Company’s ordinary shares at the date of grant.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terms of the 2024 Equity Incentive Plan (the “2024 Plan”) permit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While such shares are considered legally outstanding, they are not deemed to be outstanding for accounting purposes until they vest and are therefore excluded from basic and diluted net loss per share until the repurchase right lapses and the shares are no longer subject to the repurchase feature. A liability is recognized related to the cash proceeds of the unvested options and is reclassified into ordinary shares and additional paid-in capital as the shares vest and the repurchase right lapses. All early exercised options were unvested and accrued on the condensed consolidated balance sheet as of September 30,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Ordinary Shareholders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Basic and diluted net loss attributable to shareholders per share is presented in conformity with the two-class method required for participating securities (ordinary shares and Series A Preferred Shares). Basic earnings per share is computed by dividing net income available to each class of shares by the weighted-average number of ordinary shares and participating securities outstanding during the period. Pre-funded warrants were included as the exercise price is negligible and these warrants are fully vested and exercisable. Series A Preferred Shares share the same characteristics as the Company’s ordinary shares and has no substantive preference attributed to them and, accordingly, has been considered a class of ordinary shares in the computation of net loss per share regardless of their legal form.</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loss is allocated to ordinary shares based on its proportional ownership on an as-converted basis. Net loss is not allocated to participating securities as they do not have an obligation to fund losses. The weighted-average number of shares outstanding of ordinary shares reflects changes in ownership over the periods presented.</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shareholders adjusted for income (expenses), net of tax, related to any diluted securities, by the weighted-average number of ordinary shares and potentially dilutive securities outstanding for the period. For purposes of this calculation, the Company’s outstanding stock options to purchase common stock, unvested restricted stock units, and unvested restricted stock awards are considered potentially dilutive ordinary shares.</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generated a net loss for the periods presented. Accordingly, basic and diluted net loss per share is the same because the inclusion of the potentially dilutive securities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had accrued no amounts for interest or penalties related to uncertain tax positions as of September 30, 2025. The Company did not have any uncertain tax positions as of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(“ASU 2025-03”),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prospectively. The Company early adopted this ASU on a prospective basis as of April 1, 2025. The early adoption of ASU 2025-03 did not have any impact on the accounting conclusions related to the closing of the Merger on June 13, 2025 or the Company's condensed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expands disclosures in an entity’s income tax rate reconciliation table and disclosures regarding taxes paid both in the U.S. and foreign jurisdictions. This update is effective beginning with the Company’s 2025 fiscal year annual reporting period. The Company is currently evaluating the impact of this standard on its financial statements.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measures the following financial assets at fair value on a recurring basis. There were no transfers between levels of the fair value hierarchy during any of the periods presented. The following tables set forth the Company’s financial assets carried at fair value categorized using the lowest level of input applicable to each financial instrument as of September 30, 2025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120,457</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Cash equivalents consist of money market funds, which were valued by the Company based on quoted market prices, which represents a Level 1 measurement within the fair value hierarchy. The Company did not hold any financial assets carried at fair value as of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Reverse Recapitalization and Pre-Closing Financing</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described within the Reverse Recapitalization and Pre-Closing Financing section in Note 1, on June 13, 2025, the reverse recapitalization between Pre-Merger Crescent and GlycoMimetics was consummated. The Merger was accounted for as a reverse recapitalization in accordance with U.S. GAAP. At the effective time of the Merger, substantially all of the assets of GlycoMimetics consisted of cash and other nominal non-operating assets and liabilities. No goodwill or intangible assets were recognized.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recapitalization, the Company acquired the assets and liabilities listed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June 13, 2025</w:t>
            </w:r>
          </w:p>
        </w:tc>
      </w:tr>
      <w:tr>
        <w:trPr>
          <w:trHeight w:val="23"/>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as of September 30, 2025 was held as collateral for a stand-by letter of credit issued by the Company to its Sublandlord (as defined in Note</w:t>
      </w:r>
    </w:p>
    <w:p>
      <w:pPr>
        <w:spacing w:after="0" w:line="27" w:lineRule="exact"/>
        <w:rPr>
          <w:sz w:val="20"/>
          <w:szCs w:val="20"/>
          <w:color w:val="auto"/>
        </w:rPr>
      </w:pPr>
    </w:p>
    <w:p>
      <w:pPr>
        <w:ind w:right="520" w:firstLine="8"/>
        <w:spacing w:after="0" w:line="255" w:lineRule="auto"/>
        <w:tabs>
          <w:tab w:leader="none" w:pos="2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current lease for its principal facilities located at 300 Fifth Avenue, Waltham, Massachusetts. For additional information regarding the Company’s lease, refer to Note 12. Cash, cash equivalents, and restricted cash consisted of the following as of September 30, 2025 and December 31,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6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statements of cash flows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9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Accrued interest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$341,000 as of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Notes Payable</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October 2024, the Company entered into a Convertible Note Purchase Agreement (the “Note Purchase Agreement”) with a series of investors, pursuant to which the Company issued convertible notes with an initial principal amount of $37.5 million (of which $15.0 million is from a related party) (the “Convertible Notes”). The principal amount and all accrued interest of the Convertible Notes would automatically convert into the Pre-Merger Crescent’s common stock or preferred stock in connection with the closing of a Next Equity Financing (as defined in the Note Purchase Agreement) or other events (e.g., a sale of substantially all Company assets, a merger, etc.). The Convertible Notes accrued interest at a rate of 12.0% per annum, compounded annually. All unpaid interest and principal was scheduled to mature on December 31, 2026 (the “Maturity Date”). Prepayment was not permitted without the prior written consent of the majority of the holders of the Convertible Notes. The principal payment along with the accrued interest on each Convertible Note was due in full on the Maturity Date. Pursuant to the Note Purchase Agreement, the Company had the right to sell and issue additional Convertible Notes up to an aggregate principal amount equal to $37.5 million, in addition to the $37.5 million of initial principal amount of the Convertible Notes for a total aggregate principal amount of up to $75.0 million.</w:t>
      </w:r>
    </w:p>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assessed all terms and features of the Convertible Notes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Notes, including the conversion features related to a defaulting purchaser and highest interest rate, were not clearly and closely associated with a debt host. However, these features did not meet the definition of a derivative under ASC 815, Derivatives and Hedging, and as a result, did not require separate accounting as a derivative liability.</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paid debt issuance costs of less than $0.1 million in relation to the Convertible Notes. The debt issuance costs were reflected as a reduction of the carrying value of Convertible Notes on the condensed consolidated balance sheet and were being amortized as interest expense over the term of the Convertible Notes using the effective interest method. For the nine months ended September 30, 2025, the Company recognized interest expense related to the Convertible Notes of $2.2 million, which includes non-cash interest expense related to the amortization of debt issuance. No interest expense was recognized for the three months ended September 30, 2025 due to the conversion of the Convertible Notes immediately prior to the closing of the Merger.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closing of the Merger, the Convertible Notes were converted into 12,808,261 shares of Pre-Merger Crescent common stock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to purchase 8,392,303 shares of Pre-Merger Crescent common stock based on the aggregate principal amount of $37.5 million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in unpaid accrued interest divided by the conversion price in connection with the Pre-Closing Financing. At the closing of the Merger, the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Crescent common stock and pre-funded warrants issued in exchange for the Convertible Notes were converted into the right to receive 1,850,790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and pre-funded warrants to purchase 1,212,683 shares of common stock of the Company. In connection with the Redomestication,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shares of common stock and pre-funded warrants were converted to 1,850,790 ordinary shares and pre-funded warrants to purchase 1,212,683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ind w:right="2740"/>
        <w:spacing w:after="0" w:line="525" w:lineRule="auto"/>
        <w:rPr>
          <w:sz w:val="20"/>
          <w:szCs w:val="20"/>
          <w:color w:val="auto"/>
        </w:rPr>
      </w:pPr>
      <w:r>
        <w:rPr>
          <w:rFonts w:ascii="Times New Roman" w:cs="Times New Roman" w:eastAsia="Times New Roman" w:hAnsi="Times New Roman"/>
          <w:sz w:val="18"/>
          <w:szCs w:val="18"/>
          <w:color w:val="auto"/>
        </w:rPr>
        <w:t xml:space="preserve">ordinary shares of the Company, respectively. As of September 30, 2025, the Convertible Notes were not outstanding. </w:t>
      </w:r>
      <w:r>
        <w:rPr>
          <w:rFonts w:ascii="Times New Roman" w:cs="Times New Roman" w:eastAsia="Times New Roman" w:hAnsi="Times New Roman"/>
          <w:sz w:val="18"/>
          <w:szCs w:val="18"/>
          <w:b w:val="1"/>
          <w:bCs w:val="1"/>
          <w:color w:val="auto"/>
        </w:rPr>
        <w:t xml:space="preserve">8. Convertible Preferred Shares and Shareholders' Equity (Deficit) </w:t>
      </w:r>
      <w:r>
        <w:rPr>
          <w:rFonts w:ascii="Times New Roman" w:cs="Times New Roman" w:eastAsia="Times New Roman" w:hAnsi="Times New Roman"/>
          <w:sz w:val="18"/>
          <w:szCs w:val="18"/>
          <w:b w:val="1"/>
          <w:bCs w:val="1"/>
          <w:i w:val="1"/>
          <w:iCs w:val="1"/>
          <w:color w:val="auto"/>
        </w:rPr>
        <w:t>Pre-Funded Warrants</w:t>
      </w:r>
    </w:p>
    <w:p>
      <w:pPr>
        <w:spacing w:after="0" w:line="2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2025, pursuant to the Subscription Agreement and immediately prior to the Closing, certain new and current investors purchased pre-funded warrants of Pre-Merger Crescent for $1.9109 per warrant prior to the Exchange Ratio, or $13.22 per warrant as adjusted for the Exchange Ratio. At the Closing of the Merger, pre-funded warrants of Pre-Merger Crescent automatically converted to pre-funded warrants of the Company to purchase 2,767,122 shares of the Company common stock at an exercise price of $1.000 per share. In connection with the Redomestication, such pre-funded warrants converted to pre-funded warrants to purchase 2,767,122 ordinary shares at an exercise price of $1.000 per share.</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pre-funded warrants were recorded as a component of shareholders’ equity (deficit) within additional paid-in-capital and have no expiration date. As of September 30, 2025, none of the pre-funded warrants have been exercised.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Shares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September 2024, Pre-Merger Crescent issued and sold 20,000,000 shares of the Series Seed Convertible Preferred Stock to a related party, Fairmount Healthcare Fund II L.P., an affiliate fund of Fairmount, at a purchase price of $0.20 per share for gross proceeds of $4.0 million.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the issuance of the Pre-Merger Crescent Series Seed Preferred Stock, the Company assessed the embedded conversion and liquidation features of the securities as described below and determined that such features did not require the Company to separately account for these features as embedded derivatives.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June 2025, upon on the closing of the Merger, the outstanding Pre-Merger Crescent Series Seed Preferred Stock converted into 2,890 shares of Series A Preferred Stock. In connection with the Redomestication, such shares of Series A Preferred Stock converted to 2,890 Series A Preferred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Convertible Preferred Shares consisted of the following (in thousands, except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2,890,000</w:t>
            </w:r>
          </w:p>
        </w:tc>
        <w:tc>
          <w:tcPr>
            <w:tcW w:w="0" w:type="dxa"/>
            <w:vAlign w:val="bottom"/>
          </w:tcPr>
          <w:p>
            <w:pPr>
              <w:spacing w:after="0"/>
              <w:rPr>
                <w:sz w:val="1"/>
                <w:szCs w:val="1"/>
                <w:color w:val="auto"/>
              </w:rPr>
            </w:pPr>
          </w:p>
        </w:tc>
      </w:tr>
      <w:tr>
        <w:trPr>
          <w:trHeight w:val="463"/>
        </w:trPr>
        <w:tc>
          <w:tcPr>
            <w:tcW w:w="2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9"/>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Pursuant to the Certificate of Designation of Preferences, Rights and Limitations of the Series A Non-Voting Convertible Preferred Shares (the “Series A Certificate of Designation”), holders of Series A Preferred Shares are entitled to receive dividends on shares of Series A Preferred Shares equal to, on an as-if-converted-to-Company Ordinary Shares basis, and in the same form as, dividends actually paid on Company ordinary shares. Except as provided in the Series A Certificate of Designation or as otherwise required by law, the Company Series A Preferred Shares do not have voting rights. The Company Series A Preferred Shares shall rank on parity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ordinary shares as to the distribution of assets upon any liquidation, dissolution, or winding-up of the Company. Each Series A Preferred Share is convertible at the option of the holder, at any time, and without the payment of additional consideration by the holder into ordinary shares of the Company. As of September 30, 2025, each outstanding Series A Preferred Share was convertible into ordinary shares at a ratio of 1,000:1.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has the authority to issue a total of 175,000,000 ordinary shares at a par value of $0.001 per share. As of September 30, 2025, 13,892,516 ordinary shares were issued and outstanding, which includes 168,215 ordinary shares in connection with the issuance of RSAs and 811.00 shares in connection with early exercised stock options. Each ordinary share entitles the holder to one vote, together with the holders of Convertible Preferred Shares, on all matters submitted to the shareholders for a vote. The holders of ordinary shares are entitled to receive dividends, if any, as declared by the Company’s board of directors (the “Board of Directors” or “Board”), subject to the preferential dividend rights of the holders of Convertible Preferred Shares.</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an aggregate of 12,340,650 ordinary shares reserved for issuance (i) for the conversion of Series A Preferred Shares into ordinary shares, (ii) for the exercise of outstanding options for ordinary shares, (iii) under the 2025 Equity Incentive Plan, (iv) under the 2025 Employee Stock Purchase Plan, (v) for settlement of outstanding RSUs for ordinary shares, and (vi) for the exercise of the pre-funded warrants.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Crescent Biopharma, Inc. 2024 Equity Incentive Plan (“2024 Plan”) was adopted by the board of directors of Pre-Merger Crescent on September 19, 2024. The 2024 Plan provided for Pre-Merger Crescent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stock options have been granted with vesting terms less than four years. As of September 30, 2025, there are no shares of common stock available for issuance under the 2024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Stock Incentive Plan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Crescent Biopharma, Inc. 2025 Stock Incentive Plan (as amended from time to time, the “2025 Stock Plan”) was approved by the board of directors of GlycoMimetics on May 11, 2025, and by GlycoMimetics stockholders on June 5, 2025, and effective as of the Redomestication, the Board of Directors approved an amendment and restatement of the 2025 Stock Plan to reflect the conversion of Company common stock into Company ordinary shares in connection with the Redomestication. The 2025 Stock Plan allows for the grant of stock options, stock appreciation rights, RSAs, RSUs, other shareholder-based awards and incentive bonuses. The 2025 Stock Plan is administered by the Compensation Committee of the Board (the “Compensation Committee”) or another committee designated by the Board to administer the Plan. The initial share pool under the 2025 Stock Plan was 2,345,962 ordinary shares, and as of September 30, 2025, there are 1,955,408 shares available in the pool. The shares that may be issued under the 2025 Stock Plan will be automatically increased on January 1 of each year beginning in 2026 and ending with a final increase on January 1, 2035 in an amount equal to 5% of the diluted shares (including ordinary shares, preferred shares and unexercised pre-funded warrants) on the preceding December 31, unless a lower, or no, increase is determined by the Compensation Committee. Current or prospective employees, officers, non-employee directors, and other independent service providers of the Company and its subsidiaries are eligible to participate in the 2025 Stock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Crescent Biopharma, Inc. 2025 Employee Stock Purchase Plan (as amended from time to time, the “ESPP”) was approved by the board of directors of GlycoMimetics on May 11, 2025, and by GlycoMimetics stockholders on June 5, 2025, and effective as of the Redomestication, Board of Directors approved an amendment and restatement of the ESPP to reflect the conversion of Company common stock into Company ordinary shares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Redomestication. The ESPP has 195,497 shares reserved for issuance. The shares that may be issued under the ESPP will be automatically increased on January 1 of each year beginning in 2026 and ending with a final increase on January 1, 2035 in an amount equal to 1% of the diluted shares (including ordinary shares, preferred shares and unexercised pre-funded warrants) on the preceding December 31, unless a lower, or no, increase is determined by the Compensation Committee. As of September 30, 2025, the ESPP was not yet effective and no shares have been issued out of the ESPP.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used in calculating the fair value of the awards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97.6 %</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nine months ended September 30, 2025:</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4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as of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3,720,112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expired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as of September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2025</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268,315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nine months ended September 30, 2025 was $6.87. The aggregate intrinsic value of stock options is calculated as the difference between the exercise price of the stock options and the fair value of the Company’s ordinary shares for those stock options that had an exercise price lower than the fair value of the Company’s ordinary shares. No stock option awards were issued during the period from September 19, 2024 (inception) through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Company’s RSUs have service-based vesting conditions and vest over a four-year period with one quarter of the RSUs vesting on the anniversary of the grant date and the remainder vesting quarterly thereafter, during which time all unvested shares are subject to forfeiture by the Company in the event the holder’s service with the Company voluntarily or involuntarily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during the nine months ended September 30,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802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September 30, 2025</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RSAs have service-based vesting conditions only and vest over a four-year period or vest upon grant, during which time all unvested shares are subject to forfeiture by the Company in the event the holder’s service with the Company voluntarily or involuntarily terminates.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RSA activity during the nine months ended September 30,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6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September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RSAs granted was $9.55 and $1.38 during the nine months ended September 30, 2025 and during the period from September 19, 2024 (inception) through September 30, 2024, respectively. The total fair value of shares vested for the nine months ended September 30, 2025 was $0.1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Parascent Warrant Obligation</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terms of the Paragon Option Agreements, Parascent will be entitled to grants of warrants to purchase in the aggregate a number of shares equal to 1.00% of the then outstanding shares of the Company’s ordinary shares, on a fully diluted basis, on December 31, 2025 and December 31, 2026, at the fair market value determined by the Board of Directors (the “Parascent Warrant Obligation”). Parascent is an entity formed by Paragon as a vehicle to hold equity in the Company in order to share profits with certain employees of Paragon. The grant dates for the issuance of warrants are expected to be December 31, 2025 and December 31, 2026 as all terms of the award, including number of shares and exercise price, will be known by all parties. Parascent’s warrant has a service inception period for the grant preceding the grant date, with the full award being vested as of the grant date with no post-grant date service requirement. As of September 30, 2025, the estimated fair value of warrants to be granted on December 31, 2025 was $2.6 million. For the nine-month period ended September 30, 2025, $2.0 million was recognized as share-based compensation expense related to the Parascent Warrant Obligation. An immaterial amount of share-based compensation expense related to the Parascent Warrant Obligation was recognized during the period from September 19, 2024 (inception) through September 30, 2024. The warrants expected to be granted to Parascent are liability-classified and after the initial recognition, the liability is adjusted to fair value using an option-pricing model at the end of each reporting period, with changes in fair value recorded in the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assumptions used in calculating the fair value of the warrants: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968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96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99.8 %</w:t>
            </w:r>
          </w:p>
        </w:tc>
      </w:tr>
      <w:tr>
        <w:trPr>
          <w:trHeight w:val="22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shd w:val="clear" w:color="auto" w:fill="CCEEFF"/>
          </w:tcPr>
          <w:p>
            <w:pPr>
              <w:spacing w:after="0"/>
              <w:rPr>
                <w:sz w:val="19"/>
                <w:szCs w:val="19"/>
                <w:color w:val="auto"/>
              </w:rPr>
            </w:pPr>
          </w:p>
        </w:tc>
      </w:tr>
      <w:tr>
        <w:trPr>
          <w:trHeight w:val="21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75"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On April 14, 2025, as a result of Dr. Violin no longer serving as Chief Executive Officer and President, the Company repurchased 127,889 shares of unvested restricted stock at the price Dr. Violin originally purchased such shares, and Dr. Violin agreed to the cancellation of 537,127 unvested stock options. The Company recorded $0.2 million and $2.6 million within compensation expense as a result of the repurchase of RSA’s and stock option cancellation, respectively, during the nine months ended September 30, 2025.</w:t>
      </w:r>
    </w:p>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the Company’s share-based compensation expense in the condensed consolidated statement of operations and comprehensive loss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r>
      <w:tr>
        <w:trPr>
          <w:trHeight w:val="137"/>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77"/>
              <w:spacing w:after="0" w:line="137" w:lineRule="exact"/>
              <w:rPr>
                <w:sz w:val="20"/>
                <w:szCs w:val="20"/>
                <w:color w:val="auto"/>
              </w:rPr>
            </w:pPr>
            <w:r>
              <w:rPr>
                <w:rFonts w:ascii="Times New Roman" w:cs="Times New Roman" w:eastAsia="Times New Roman" w:hAnsi="Times New Roman"/>
                <w:sz w:val="14"/>
                <w:szCs w:val="14"/>
                <w:b w:val="1"/>
                <w:bCs w:val="1"/>
                <w:color w:val="auto"/>
              </w:rPr>
              <w:t>19, 2024 (Inception)</w:t>
            </w:r>
          </w:p>
        </w:tc>
      </w:tr>
      <w:tr>
        <w:trPr>
          <w:trHeight w:val="160"/>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5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Through September 30,</w:t>
            </w:r>
          </w:p>
        </w:tc>
      </w:tr>
      <w:tr>
        <w:trPr>
          <w:trHeight w:val="196"/>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September 30, 2025, total unrecognized compensation cost related to the unvested stock options was $23.1 million, which is expected to be recognized over a weighted average period of approximately 3.3 years. As of September 30, 2025, total unrecognized compensation cost related to the unvested RSAs was $0.2 million, which is expected to be recognized over a weighted average period of 3.0 years. As of September 30, 2025, total unrecognized compensation cost related to the unvested RSUs was $2.3 million, which is expected to be recognized over a weighted average period of 3.5 years. As of September 30, 2025, the unrecognized compensation cost related to the Parascent Warrant Obligation was $0.5 million, which is expected to be recognized over a weighted average period of 0.3 years.</w:t>
      </w:r>
    </w:p>
    <w:p>
      <w:pPr>
        <w:spacing w:after="0" w:line="13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award types of the Company’s share-based compensation expense in the condensed consolidated statement of operations and comprehensive loss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Parascent warrant obligation</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was no income tax provision recorded for the three and nine months ended September 30, 2025 or for the period from September 19, 2024 (inception) through September 30, 2024 and, therefore, the Company’s effective income tax rate was —% for the three and nine months ended September 30, 2025 and for period from September 19, 2024 (inception) through September 30, 2024. The effective income tax rate for the three and nine months ended September 30, 2025 differed from the 21% federal statutory rate primarily due to the valuation allowance maintained against the Company’s net deferred tax assets.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tax provisions. The Company has evaluated the OBBBA provisions enacted during the current quarter and estimated their impact on the condensed consolidated financial statements to be immaterial. The Company will continue to evaluate the full impact of these legislative changes as additional guidance becomes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Paragon Option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the Company entered into the Antibody Paragon Option Agreement with Paragon and Parascent for CR-001, with the selected targets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PD-1 and VEGF. In October 2024, the Company entered into the ADC Paragon Option Agreement with Paragon and Parascent for CR-002, with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undisclosed target (collectively the “Paragon Option Agreements”). Parascent will not perform any substantive role under the Paragon Option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to receive such warrants as discussed in Note 9. Under the Paragon Option Agreements, the Company has the exclusive option (an “Option”),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Research Program-by-Research Program basis, to enter into a separate agreement with Paragon consistent with a set of pre-negotiated terms (a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On March 18, 2025, the Company exercised its option for CR-001 under the Antibody Paragon Option Agreement and entered into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 for CR-001 on April 28, 2025. On September 26, 2025, the Company exercised its option for CR-002 under the Antibody Paragon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Agreement and entered into a license agreement with Paragon in November 2025. Upon the Company’s exercise of its Options and finalization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license agreements, it will be required to make non-refundable milestone payments to Paragon of up to $22.0 million for CR-001 and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 million for CR-002 upon the achievement of certain clinical development and regulatory milestones, as well as tiered royalty payments in the low-to-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 single-digits beginning on the first commercial sale of each developed product. From time to time, the Company can choose to add additional targets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mutual agreement with Paragon.</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28, 2025, the Company entered into an Amended and Restated Paragon ADC Option Agreement to add CR-003 and its three undisclosed targets as well as to engage Paragon to execute a mutually agreed research plan for CR-003, in addition to CR-002 which was included in the original agreement, aimed at producing a potential product candidate to be licensed for further development, manufacture, and commercialization by the Company. In addition, if the Company exercises its option and finalizes the related license agreement, it will be required to make non-refundable milestone payments to Paragon up to $46.0 million for CR-003 upon the achievement of certain clinical development and regulatory milestones, as well as tiered royalty payments in the low-to-mid single digits beginning on the first commercial sale of each developed product.</w:t>
      </w:r>
    </w:p>
    <w:p>
      <w:pPr>
        <w:spacing w:after="0" w:line="13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Under the terms of the Paragon Option Agreements, Paragon agreed to perform certain research activities to discover, generate, identify, and characterize one or more antibody candidates, in the case of the Antibody Paragon Option Agreement, and one or more antibody drug conjugates, in the case of the ADC Paragon Option Agreement, directed to certain mutually agreed therapeutic targets of interest to the Company (each, a “Research Program”). The Paragon Option Agreements require the Company, Paragon, and Parascent to develop a research plan for each target that includes design, modeling, synthesis, evaluation, and other mutually agreed activities (each, a “Research Plan”), which activities primarily include performing preclinical studies. Paragon will perform the activities set forth in each Research Plan on the timelines set forth in such Research Plan and in compliance with a mutually agreed budget. Each Research Program will be overseen and coordinated by a joint development committee consisting of two employees from the Company and two employees from Paragon, with the Company and Paragon each having one vote with respect to decisions of the committee. When Paragon and Parascent have produced an antibody or ADC,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20"/>
          </w:cols>
          <w:pgMar w:left="320" w:top="1440" w:right="359" w:bottom="1440" w:gutter="0" w:footer="0" w:header="0"/>
        </w:sectPr>
      </w:pPr>
    </w:p>
    <w:bookmarkStart w:id="226" w:name="page227"/>
    <w:bookmarkEnd w:id="226"/>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applicable, against a selected target, and upon the completion of each Research Program, Paragon and Parascent will deliver to the Company a data package that includes sequence information for all then-existing antibodies or ADCs, as applicable, and information directed to such target.</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Unless terminated earlier, the Paragon Option Agreements shall continue in force on a Research Program- by-Research Program basis until the later of: (i) the end of the option period for such Research Program, as applicable, if such Option is not exercised by the Company; (ii) if the Company exercises its Option with respect to a Research Program, but the parties are unable to finalize and execute a License Agreement within 30 days, the expiration of such 30-day period (subject to any mutually agreed extension of such period); and (iii) the expiration of the applicable Research Term (as defined under the Paragon Option Agreements).The Company may terminate the Paragon Option Agreements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Paragon may terminate the Paragon Option Agreements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Option Agreements or any Research Program upon (i) 30 days’ prior written notice of the other party’s material breach that remains uncured for the 30-day period and (ii) the other party’s bankruptcy.</w:t>
      </w:r>
    </w:p>
    <w:p>
      <w:pPr>
        <w:spacing w:after="0" w:line="13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the Paragon Option Agreements, the Company is also responsible for certain additional development costs incurred by Paragon. The Company expenses the fees incurred under the Paragon Option Agreements as the associated costs are incurred when the underlying services are rendered. Such amounts are classified within research and development expenses and general and administrative expenses in the accompanying condensed consolidated statement of operations and comprehensive loss. The following is a summary of expenses related to the development costs and license fees related to the Paragon Option Agreements recorded within the condensed consolidated statement of operations for the periods presented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2"/>
                <w:szCs w:val="12"/>
                <w:color w:val="auto"/>
              </w:rPr>
            </w:pPr>
          </w:p>
        </w:tc>
        <w:tc>
          <w:tcPr>
            <w:tcW w:w="142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19, 2024 (Inception)</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September 30,</w:t>
            </w: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 amount of $6.3 million related to Paragon is included in related party accounts payable and other current liabilities within the condensed consolidated balance sheet as of September 30, 2025.</w:t>
      </w:r>
    </w:p>
    <w:p>
      <w:pPr>
        <w:spacing w:after="0" w:line="10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Any additional License Agreements entered into with respect to a given Research Program shall contain the same milestone payment obligations as the Paragon Option Agreements, provided that any milestone set in the Paragon Option Agreements that has not yet been achieved and is duplicated in such License Agreement shall no longer be achievable and payable under the terms of the Paragon Option Agreements and shall only be achievable under the terms of the License Agreement. For the avoidance of doubt, if a milestone is achieved and paid by the Company pursuant to the Paragon Option Agreements for a certain Research Program, then there shall be no milestone payment due for the achievement of such milestone under a subsequently executed License Agreement for such Research Program. Further, under a License Agreement, the Company would also be required to make royalty payments to Paragon in the low single-digit percentage range based on net sales of products, subject to certain reductions. The royalty term will terminate on a product-by-product and country-by-country basis upon the later of the expiration of the last-to-expire valid claim within the relevant patent rights or the twelfth anniversary of the first commercial sale of such product in such country.</w:t>
      </w:r>
    </w:p>
    <w:p>
      <w:pPr>
        <w:spacing w:after="0" w:line="13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Additionally, as part of the Paragon Option Agreements, on each of December 31, 2025 and December 31, 2026, the Company will grant Parascent warrants to purchase an aggregate number of shares equal to 1.00%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0"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outstanding share capital as of the date of the grant on a fully-diluted basis, with an exercise price equal to the fair market value of the underlying ordinary shares on each respective grant date. The warrants are liability-classified and after the initial recognition, the liability is adjusted to fair value at the end of each reporting period, with changes in fair value recorded in the condensed consolidated statement of operations and comprehensive loss (see Note 9).</w:t>
      </w:r>
    </w:p>
    <w:p>
      <w:pPr>
        <w:spacing w:after="0" w:line="10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concluded that the rights obtained under the Paragon Option Agreements represent an asset acquisition whereby the underlying assets comprise in-process research and development assets with no alternative future use. The Paragon Option Agreements did not qualify as a business combination because substantially all of the fair value of the assets acquired was concentrated in the exclusive license options, which represent a group of similar identifiable assets. The research initiation fees represent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Paragon Option Agreements that associated with services being rendered under the related Research Programs is recognized as research and development expense when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CR-001 License Agreement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28, 2025, the Company entered into a License Agreement with Paragon for all antibodies discovered, generated, identified, or characterized by Paragon in the course of performing the CR-001 research program directed to PD-1 and VEGF, antibodies created by the Company derived from the licensed antibodies and directed to PD-1 and VEGF, and products that comprise the foregoing (the “CR-001 License Agreement”) consistent with the pre-negotiated terms agreed to upon execution of the Paragon Option Agreements, pursuant to which Paragon granted the Company a royalty-bearing, worldwide, exclusive, and sublicensable license with respect to certain inventions, patent rights, sequence information, and other intellectual property rights related to monospecific antibodies directed at the VEGF and PD-1 targets (the “Licensed Antibody Technology”) to use, make, sell, import, export, and otherwise exploit certain Licensed Antibodies, Derived Antibodies, Products, Multispecific Antibodies, and Multispecific Products in the Field in the Territory. Under the terms of the CR-001 License Agreement, the Company is obligated to pay Paragon up to $22.0 million based on specific development and regulatory milestones, with the next subsequent milestone payment of $2.5 million being due upon the first dosing of a human patient in a Phase 1 trial. Following the execution of the CR-001 License Agreement, the Company is solely responsible for, and has sole authority and control over, all aspects of the development, manufacturing, and commercialization of product candidates under the CR-001 program, including regulatory strategy, communications, filings, and activities (including clinical trials). Paragon also granted the Company a royalty-bearing, worldwide, non-exclusive, sublicensable right and license under the Licensed Antibody Technology to use, make, sell, import, export, or otherwise exploit certain multispecific antibodies and products targeting PD-1 and VEGF. In addition, the following summarizes other key terms of the CR-001 License Agreement:</w:t>
      </w:r>
    </w:p>
    <w:p>
      <w:pPr>
        <w:spacing w:after="0" w:line="143"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not conduct any new campaigns that generate PD-1 and VEGF and monospecific antibodies in the field for at least five years.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may pursue the development and commercialization of multispecific antibodies and products directed at the PD-1 and VEGF and targets in the field and in the territory and the Company has a right of first negotiation for any such multispecific antibodies and products proposed by Paragon for a period of five years from the execution of the CR-001 License Agreement. If the Company does not exercise its right of first negotiation, or if the parties are unable to agree on a definitive agreement, Paragon may proceed without any obligations to the Company with respect to the right of first negotiation, and the Company’s non-exclusive license will exclude any multispecific antibodies and products that were the subject of the right of first negotiation.</w:t>
      </w:r>
    </w:p>
    <w:p>
      <w:pPr>
        <w:spacing w:after="0" w:line="13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Paragon a low-to-mid single-digit percentage royalty based on annual net sales of the products in the field and in the territory, and a mid single-digit percentage royalty based on annual net sales of the multispecific products in the field and in the territory, subject to a 30% reduction if there is no valid patent covering the product in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0" w:lineRule="exact"/>
        <w:rPr>
          <w:sz w:val="20"/>
          <w:szCs w:val="20"/>
          <w:color w:val="auto"/>
        </w:rPr>
      </w:pPr>
    </w:p>
    <w:p>
      <w:pPr>
        <w:ind w:left="660" w:right="280" w:hanging="328"/>
        <w:spacing w:after="0" w:line="282" w:lineRule="auto"/>
        <w:tabs>
          <w:tab w:leader="none" w:pos="65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term ends on the later of (i) the twelfth anniversary of such date or (ii) the expiration of the last-to- expire valid patent covering the product or the multispecific product in the country at issue.</w:t>
      </w:r>
    </w:p>
    <w:p>
      <w:pPr>
        <w:spacing w:after="0" w:line="10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CR-001 License Agreement may be terminated on 60 days’ notice by the Company, upon material breach without cure; and to the extent permitted by law, upon a party’s insolvency or bankruptcy.</w:t>
      </w:r>
    </w:p>
    <w:p>
      <w:pPr>
        <w:spacing w:after="0" w:line="107"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patents licensed to the Company under the CR-001 License Agreement that have been filed as of the effective date of the CR-001 License Agreement, the Company will control the preparing, filing, prosecuting, and maintenance of such patents. With respect to patents filed after the effective date of the CR-001 License Agreement, Paragon will control the preparing, filing, prosecuting, and maintaining of such patents until the final deliverable for the relevant research program is delivered to the Company, after which the Company will control the preparing, filing, prosecuting, and maintain of such patents.</w:t>
      </w:r>
    </w:p>
    <w:p>
      <w:pPr>
        <w:spacing w:after="0" w:line="12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grant sublicenses under the CR-001 License Agreement, provided that (i) any sublicense agreement is consistent with all relevant terms, conditions, and restrictions of the CR-001 License Agreement, (ii) the Company provides Paragon with a copy of each sublicense agreement and any amendments thereto within 30 days following execution thereof and (iii) the Company remains responsible for all payments and obligations due under the CR-001 License Agreement.</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2025, the Company entered into a noncancelable operating sublease agreement with Nano Dimension USA Inc. (“Sublandlord”) whereby the Company sublets approximately 25,000 square feet of office space located in Waltham, Massachusetts (“Waltham Sublease”). The sublease commencement date is June 1, 2025, with an initial term of 45 months. Lease liabilities are based on the net present value of the remaining lease payments over the remaining lease term. In determining the present value of lease payments, the Company used its incremental borrowing rate when measuring operating lease liabilities as discount rates were not implicit or readily determinable.</w:t>
      </w:r>
    </w:p>
    <w:p>
      <w:pPr>
        <w:spacing w:after="0" w:line="1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$1.6 million of operating lease ROU assets, short term lease liabilities of $0.4 million and long term lease liability of $1.3 million on its condensed consolidated balance sheets. As of September 30, 2025, the operating lease arrangement had a remaining lease term of 3.4 years and a discount rate of 10.6%.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total remaining operating lease payments included in the measurement of lease liabilities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 ended December 31</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3 months)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present value of operating lease liability</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Matching contributions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401(k) Plan may be made at the discretion of management. For the three and nine months ended September 30, 2025, the Company has not recorded any expense related to 401(k) Plan match contributions.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September 30,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September 30, 2025, the Company was not a party to any material legal proceedings or claims.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 Line License Agreement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CR-001 and CR-002 programs.</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consideration for the license, the Company agreed to pay WuXi Biologics a non-refundable license fee of $150,000, which was recognized as a research and development expense during the period from September 19,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ordinary shareholders was calculated as follows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6"/>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15"/>
        </w:trPr>
        <w:tc>
          <w:tcPr>
            <w:tcW w:w="3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151"/>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360" w:type="dxa"/>
            <w:vAlign w:val="bottom"/>
            <w:tcBorders>
              <w:top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Loss Per Share, Basic</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ind w:left="180"/>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380" w:type="dxa"/>
            <w:vAlign w:val="bottom"/>
            <w:tcBorders>
              <w:top w:val="single" w:sz="8" w:color="auto"/>
            </w:tcBorders>
            <w:gridSpan w:val="2"/>
          </w:tcPr>
          <w:p>
            <w:pPr>
              <w:jc w:val="right"/>
              <w:ind w:right="5"/>
              <w:spacing w:after="0" w:line="115" w:lineRule="exact"/>
              <w:rPr>
                <w:sz w:val="20"/>
                <w:szCs w:val="20"/>
                <w:color w:val="auto"/>
              </w:rPr>
            </w:pPr>
            <w:r>
              <w:rPr>
                <w:rFonts w:ascii="Times New Roman" w:cs="Times New Roman" w:eastAsia="Times New Roman" w:hAnsi="Times New Roman"/>
                <w:sz w:val="13"/>
                <w:szCs w:val="13"/>
                <w:b w:val="1"/>
                <w:bCs w:val="1"/>
                <w:color w:val="auto"/>
              </w:rPr>
              <w:t>Loss Per Share, Basic</w:t>
            </w:r>
          </w:p>
        </w:tc>
      </w:tr>
      <w:tr>
        <w:trPr>
          <w:trHeight w:val="183"/>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Loss Allocation</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Shares Outstanding</w:t>
            </w:r>
          </w:p>
        </w:tc>
        <w:tc>
          <w:tcPr>
            <w:tcW w:w="26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and Diluted</w:t>
            </w:r>
          </w:p>
        </w:tc>
        <w:tc>
          <w:tcPr>
            <w:tcW w:w="1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Loss Allocation</w:t>
            </w:r>
          </w:p>
        </w:tc>
        <w:tc>
          <w:tcPr>
            <w:tcW w:w="13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 Outstanding</w:t>
            </w:r>
          </w:p>
        </w:tc>
        <w:tc>
          <w:tcPr>
            <w:tcW w:w="280" w:type="dxa"/>
            <w:vAlign w:val="bottom"/>
          </w:tcPr>
          <w:p>
            <w:pPr>
              <w:spacing w:after="0"/>
              <w:rPr>
                <w:sz w:val="15"/>
                <w:szCs w:val="15"/>
                <w:color w:val="auto"/>
              </w:rPr>
            </w:pPr>
          </w:p>
        </w:tc>
        <w:tc>
          <w:tcPr>
            <w:tcW w:w="110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and Diluted</w:t>
            </w: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(20,947)</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16,540,771</w:t>
            </w:r>
          </w:p>
        </w:tc>
        <w:tc>
          <w:tcPr>
            <w:tcW w:w="2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6,640,402</w:t>
            </w:r>
          </w:p>
        </w:tc>
        <w:tc>
          <w:tcPr>
            <w:tcW w:w="28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16"/>
        </w:trPr>
        <w:tc>
          <w:tcPr>
            <w:tcW w:w="30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Company Series A Preferred Shares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260" w:type="dxa"/>
            <w:vAlign w:val="bottom"/>
            <w:tcBorders>
              <w:bottom w:val="single" w:sz="8" w:color="CCEEFF"/>
            </w:tcBorders>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(1,266.44)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280" w:type="dxa"/>
            <w:vAlign w:val="bottom"/>
            <w:tcBorders>
              <w:bottom w:val="single" w:sz="8" w:color="CCEEFF"/>
            </w:tcBorders>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(7,891.38)</w:t>
            </w: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(24,607)</w:t>
            </w:r>
          </w:p>
        </w:tc>
        <w:tc>
          <w:tcPr>
            <w:tcW w:w="1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(61,545)</w:t>
            </w:r>
          </w:p>
        </w:tc>
        <w:tc>
          <w:tcPr>
            <w:tcW w:w="1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60" w:type="dxa"/>
            <w:vAlign w:val="bottom"/>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Period from September 19, 2024 (Inception) Through September 30, 2024</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Loss Allocation</w:t>
            </w:r>
          </w:p>
        </w:tc>
        <w:tc>
          <w:tcPr>
            <w:tcW w:w="15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1"/>
                <w:szCs w:val="11"/>
                <w:color w:val="auto"/>
              </w:rPr>
            </w:pPr>
          </w:p>
        </w:tc>
        <w:tc>
          <w:tcPr>
            <w:tcW w:w="1460" w:type="dxa"/>
            <w:vAlign w:val="bottom"/>
          </w:tcPr>
          <w:p>
            <w:pPr>
              <w:jc w:val="center"/>
              <w:ind w:right="22"/>
              <w:spacing w:after="0" w:line="129" w:lineRule="exact"/>
              <w:rPr>
                <w:sz w:val="20"/>
                <w:szCs w:val="20"/>
                <w:color w:val="auto"/>
              </w:rPr>
            </w:pPr>
            <w:r>
              <w:rPr>
                <w:rFonts w:ascii="Times New Roman" w:cs="Times New Roman" w:eastAsia="Times New Roman" w:hAnsi="Times New Roman"/>
                <w:sz w:val="14"/>
                <w:szCs w:val="14"/>
                <w:b w:val="1"/>
                <w:bCs w:val="1"/>
                <w:color w:val="auto"/>
              </w:rPr>
              <w:t>Loss Per Share, Basic</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and Diluted</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730,092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800" w:hanging="332"/>
        <w:spacing w:after="0" w:line="283"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number of shares of as-converted Series A Preferred Shares used in the loss allocation was 2,890,000 and 1,160,219 for the three and nine months ended September 30, 2025, respectively.</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computation of basic net loss per share attributable to ordinary shareholders, the amount of weighted-average ordinary shares outstanding excludes all shares of unvested restricted stock and early-exercised stock options as such shares are not considered outstanding for accounting purposes until vested. The amount of weighted-average shares outstanding includes the pre-funded warrants as the exercise price is negligible and these warrants are fully vested and exercisable. The potential ordinary shares that were excluded from the computation of diluted net loss per share attributable to ordinary shareholders for the periods presented because including them would have had an anti-dilutive effect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r>
      <w:tr>
        <w:trPr>
          <w:trHeight w:val="137"/>
        </w:trPr>
        <w:tc>
          <w:tcPr>
            <w:tcW w:w="6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19, 2024 (Inception)</w:t>
            </w:r>
          </w:p>
        </w:tc>
      </w:tr>
      <w:tr>
        <w:trPr>
          <w:trHeight w:val="160"/>
        </w:trPr>
        <w:tc>
          <w:tcPr>
            <w:tcW w:w="6360" w:type="dxa"/>
            <w:vAlign w:val="bottom"/>
          </w:tcPr>
          <w:p>
            <w:pPr>
              <w:spacing w:after="0"/>
              <w:rPr>
                <w:sz w:val="13"/>
                <w:szCs w:val="13"/>
                <w:color w:val="auto"/>
              </w:rPr>
            </w:pPr>
          </w:p>
        </w:tc>
        <w:tc>
          <w:tcPr>
            <w:tcW w:w="16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Through September 30,</w:t>
            </w:r>
          </w:p>
        </w:tc>
      </w:tr>
      <w:tr>
        <w:trPr>
          <w:trHeight w:val="196"/>
        </w:trPr>
        <w:tc>
          <w:tcPr>
            <w:tcW w:w="636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unvested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unvested restricted stock awards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187,533</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and issued common stock options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4,094,237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4,094,237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4,626,706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4,626,706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20,187,533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Paragon and Parascent each beneficially own less than 5% of the Company’s share capital through their respective holdings of the Company’s ordinary shares. Fairmount beneficially owns more than 5% of the Company’s capital, currently has two representatives appointed to the Board and beneficially owns more than 5% of Paragon. Fairmount appointed Paragon’s board of directors and has the contractual right to approve the appointment of any executive officers of Paragon. The Company determined Paragon and Parascent were related parties based on the nature of these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related party accounts payable and other current liabilities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Paragon accrued 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Paragon accrued general and administrative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one reportable segment relating to the research and development of its research programs, CR-001, CR-002, and CR-003. The Company’s CODM, its Chief Executive Officer, manages the Company’s operations on a company-wide basis for the allocation of resources and the assessment of performance. The Company’s measure of segment profit or loss used to assess performance and allocate resources is net loss and comprehensive loss. Although the Company’s financial reporting package that is reviewed and approved by the CODM disaggregates significant expenses such as program-level external research and development costs, personnel costs, including share-based compensation expense, and professional and consulting fees, all decisions made by the CODM are based upon reviewing operating metrics and performance indications at the Company-wide level. The CODM uses net loss to evaluate loss generated from the Company’s business activities in deciding how to allocate company resources and monitoring budget versus actual results. Assets are also managed on a Company-wide basis.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summary of the segment loss, including significant segment expenses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r>
      <w:tr>
        <w:trPr>
          <w:trHeight w:val="137"/>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74"/>
              <w:spacing w:after="0" w:line="137" w:lineRule="exact"/>
              <w:rPr>
                <w:sz w:val="20"/>
                <w:szCs w:val="20"/>
                <w:color w:val="auto"/>
              </w:rPr>
            </w:pPr>
            <w:r>
              <w:rPr>
                <w:rFonts w:ascii="Times New Roman" w:cs="Times New Roman" w:eastAsia="Times New Roman" w:hAnsi="Times New Roman"/>
                <w:sz w:val="14"/>
                <w:szCs w:val="14"/>
                <w:b w:val="1"/>
                <w:bCs w:val="1"/>
                <w:color w:val="auto"/>
              </w:rPr>
              <w:t>19, 2024 (Inception)</w:t>
            </w:r>
          </w:p>
        </w:tc>
      </w:tr>
      <w:tr>
        <w:trPr>
          <w:trHeight w:val="160"/>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5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Through September 30,</w:t>
            </w:r>
          </w:p>
        </w:tc>
      </w:tr>
      <w:tr>
        <w:trPr>
          <w:trHeight w:val="196"/>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CR-001 external research and development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CR-002 external research and development costs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external research and discovery costs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personnel costs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personnel costs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research and discovery costs include CR-003 costs and other costs associated with candidate discovery activities.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includes office and facilities expense, interest expense, and miscellaneous other expense offset by interest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and transactions occurring subsequent to September 30, 2025 through November 6, 2025, the date the condensed consolidated financial statements were issued.</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5, 2025, the Company entered into a license agreement for CR-002 consistent with those terms under the Antibody Paragon Option Agreement, as further described in Note 11, including the requirement to make non-refundable milestone payments to Paragon of up to $46.0 million upon the achievement of certain clinical development and regulatory milestones, as well as tiered royalty payments in the low-to-mid single-digits beginning on the first commercial sale of each developed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Subsequent to Original Issuance of Condensed Consolidated Financial Statements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connection with the reissuance of the condensed consolidated financial statements, the Company has evaluated subsequent events through January 7, 2026, the date the condensed consolidated financial statements were reissued.</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2, 2025, the Company entered into Amendment No. 1 (the “Amendment”) to the License Agreement, dated April 28, 2025, by and between the Company and Paragon Therapeutics, Inc., a Delaware corporation (the “Paragon License”), relating to CR-001. The purpose of the Amendment was to amend certain terms of the Paragon License for the sole purpose of accommodating and aligning with the sublicense for the CR-001 License Agreement with Sichuan Kelun-Biotech Biopharmaceutical Co., Ltd. (“Kelun”) as discussed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 with Sichuan Kelun-Biotech Biopharmaceutical Co., Ltd.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 2025, the Company entered into two license agreements with Kelun, each of which is described below.</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2, 2025, the Company and Kelun entered into a License Agreement (the “CR-001 License Agreement”) under which the Company granted Kelun an exclusive, royalty-bearing license to research, develop, manufacture and commercialize CR-001, Crescent’s proprietary bispecific antibody directed to VEGF and PD-1, in greater China (including mainland China, Hong Kong, Macau and Taiwan) (collectively, the “SKB Territory”). Crescent retains all rights to CR-001 outside the SKB Territory. Under the CR-001 License Agreement, Kelun is responsible for development, manufacturing, regulatory and commercial activities for CR-001 in the SKB Territory, and is obligated to use commercially reasonable efforts to develop and commercialize at least one CR-001 product candidate in the SKB Territory.</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CR-001 License Agreement, Kelun will pay the Company the following: $20.0 million within 30 days of signing, up to $30.0 million in development milestone payments, and tiered royalties ranging from low- to mid-single digits based on annual nets sales in the SKB Territory, subject to customary reductions, and a royalty floor on reductions. Additionally, the Company may be required to pay Kelun $5.0 million if Kelun initiates a Crescent approved combination study with CR-001 prior to December 31, 2026.</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CR-001 License Agreement includes initial supply of CR-001 drug product, a data-sharing framework, know-how and manufacturing technology transfer provisions, intellectual property provisions, and customary termination rights, including reversion and license-back mechanics in specified circumstances.</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2, 2025, the Company and Kelun entered into a License and Collaboration Agreement (the “SKB105 License Agreement”), under which Kelun granted the Company an exclusive license to research, develop, manufacture and commercialize SKB105, Kelun’s proprietary integrin beta-6-directed antibody-drug conjugate, in all territories outside the SKB Territory. The Company is responsible for all development, manufacturing, regulatory and commercial activities for SKB105 outside the SKB Territory and is obligated to use commercially reasonable efforts to develop, obtain regulatory approval for, manufacture (or have manufactured) and commercialize at least one SKB105 product in the United States and at least three (3) major European markets.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SKB105 License Agreement, the Company has agreed to pay Kelun the following: $80.0 million within 30 days of signing, up to $345.0 million in development milestone payments, up to $902.5 million in sales-based milestone payments, tiered royalties ranging from mid-single digits to low-double digits based on annual net sales, subjected to customary reductions and a royalty floor, sublicense and divestiture revenue-sharing payments of low double-digit percentages of any sublicense or divestiture consideration on account of SKB105 paid or payable to the Company within 18 months after the effective date of the definitive agreement in connection with any such triggering transaction, and a potential payment of low-single digits to low-double digits of any change of control consideration (including cash or any other consideration) received by equity holders of the Company if the Company undergoes a qualifying change-of-control transaction within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00"/>
          </w:cols>
          <w:pgMar w:left="320" w:top="1440" w:right="379" w:bottom="1440" w:gutter="0" w:footer="0" w:header="0"/>
        </w:sectPr>
      </w:pPr>
    </w:p>
    <w:bookmarkStart w:id="233" w:name="page234"/>
    <w:bookmarkEnd w:id="233"/>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SKB105 License Agreement includes initial supply of SKB105 drug product, a data-sharing arrangement, know-how and manufacturing technology transfer provisions, intellectual property provisions, and customary termination rights, including reversion and license-back mechanics in specified circumstances.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December 4, 2025, the Company entered into a Securities Purchase Agreement (the “Purchase Agreement”) for a private placement (the “Private Placement”) with certain institutional and other accredited investors (each, a “Purchaser” and collectively, the “Purchasers”). The closing of the Private Placement (the “Closing”) occurred on December 8, 2025, subject to the satisfaction of customary closing conditions.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Purchasers agreed to purchase an aggregate of 13,795,685 ordinary shares with a par value of US$0.001 per share of the Company (the “Ordinary Shares”), at a purchase price per share of $13.41 (or, for certain investors in lieu of Ordinary Shares, pre-funded warrants (the “Pre-Funded Warrants”) to purchase shares of Ordinary Shares (the “Pre-Funded Warrant Shares”), at a purchase price per underlying Pre-Funded Warrant Share of $13.409, which represents the per share purchase price of the Ordinary Shares less the $0.001 per share exercise price for each Pre-Funded Warrant), for an aggregate purchase price of approximately $185.0 million.</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Pre-Funded Warrants will be exercisable at any time after the date of issuance. A holder of Pre-Funded Warrants may not exercise the warrant if the holder, together with its affiliates, would beneficially own more than 9.99% of the number of Ordinary Shares outstanding immediately after giving effect to such exercise. A holder of Pre-Funded Warrants may increase or decrease this percentage to a percentage not in excess of 19.99% by providing at least 61 days’ prior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F-57</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1)"/>
      <w:numFmt w:val="lowerRoman"/>
      <w:start w:val="2"/>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1)"/>
      <w:numFmt w:val="decimal"/>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1)"/>
      <w:numFmt w:val="decimal"/>
      <w:start w:val="1"/>
    </w:lvl>
  </w:abstractNum>
  <w:abstractNum w:abstractNumId="35">
    <w:nsid w:val="BF72B14"/>
    <w:multiLevelType w:val="hybridMultilevel"/>
    <w:lvl w:ilvl="0">
      <w:lvlJc w:val="left"/>
      <w:lvlText w:val="(%1)"/>
      <w:numFmt w:val="decimal"/>
      <w:start w:val="2"/>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1)"/>
      <w:numFmt w:val="decimal"/>
      <w:start w:val="1"/>
    </w:lvl>
  </w:abstractNum>
  <w:abstractNum w:abstractNumId="38">
    <w:nsid w:val="A0382C5"/>
    <w:multiLevelType w:val="hybridMultilevel"/>
    <w:lvl w:ilvl="0">
      <w:lvlJc w:val="left"/>
      <w:lvlText w:val="(%1)"/>
      <w:numFmt w:val="decimal"/>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1)"/>
      <w:numFmt w:val="decimal"/>
      <w:start w:val="1"/>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1."/>
      <w:numFmt w:val="decimal"/>
      <w:start w:val="3"/>
    </w:lvl>
  </w:abstractNum>
  <w:abstractNum w:abstractNumId="53">
    <w:nsid w:val="6F6DD9AC"/>
    <w:multiLevelType w:val="hybridMultilevel"/>
    <w:lvl w:ilvl="0">
      <w:lvlJc w:val="left"/>
      <w:lvlText w:val="(%1)"/>
      <w:numFmt w:val="lowerRoman"/>
      <w:start w:val="2"/>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1)"/>
      <w:numFmt w:val="lowerLetter"/>
      <w:start w:val="1"/>
    </w:lvl>
  </w:abstractNum>
  <w:abstractNum w:abstractNumId="58">
    <w:nsid w:val="1716703B"/>
    <w:multiLevelType w:val="hybridMultilevel"/>
    <w:lvl w:ilvl="0">
      <w:lvlJc w:val="left"/>
      <w:lvlText w:val="(%1)"/>
      <w:numFmt w:val="lowerRoman"/>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1)"/>
      <w:numFmt w:val="decimal"/>
      <w:start w:val="1"/>
    </w:lvl>
  </w:abstractNum>
  <w:abstractNum w:abstractNumId="76">
    <w:nsid w:val="50801EE1"/>
    <w:multiLevelType w:val="hybridMultilevel"/>
    <w:lvl w:ilvl="0">
      <w:lvlJc w:val="left"/>
      <w:lvlText w:val="(%1)"/>
      <w:numFmt w:val="decimal"/>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1)"/>
      <w:numFmt w:val="decimal"/>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1)"/>
      <w:numFmt w:val="decimal"/>
      <w:start w:val="1"/>
    </w:lvl>
  </w:abstractNum>
  <w:abstractNum w:abstractNumId="82">
    <w:nsid w:val="6A5F7029"/>
    <w:multiLevelType w:val="hybridMultilevel"/>
    <w:lvl w:ilvl="0">
      <w:lvlJc w:val="left"/>
      <w:lvlText w:val="(%1)"/>
      <w:numFmt w:val="decimal"/>
      <w:start w:val="4"/>
    </w:lvl>
  </w:abstractNum>
  <w:abstractNum w:abstractNumId="83">
    <w:nsid w:val="7D5E18F8"/>
    <w:multiLevelType w:val="hybridMultilevel"/>
    <w:lvl w:ilvl="0">
      <w:lvlJc w:val="left"/>
      <w:lvlText w:val="%1"/>
      <w:numFmt w:val="decimal"/>
      <w:start w:val="1"/>
    </w:lvl>
    <w:lvl w:ilvl="1">
      <w:lvlJc w:val="left"/>
      <w:lvlText w:val="%2"/>
      <w:numFmt w:val="upperLetter"/>
      <w:start w:val="61"/>
    </w:lvl>
  </w:abstractNum>
  <w:abstractNum w:abstractNumId="84">
    <w:nsid w:val="5F3534A4"/>
    <w:multiLevelType w:val="hybridMultilevel"/>
    <w:lvl w:ilvl="0">
      <w:lvlJc w:val="left"/>
      <w:lvlText w:val="(%1)"/>
      <w:numFmt w:val="decimal"/>
      <w:start w:val="5"/>
    </w:lvl>
    <w:lvl w:ilvl="1">
      <w:lvlJc w:val="left"/>
      <w:lvlText w:val="%2"/>
      <w:numFmt w:val="upperLetter"/>
      <w:start w:val="61"/>
    </w:lvl>
  </w:abstractNum>
  <w:abstractNum w:abstractNumId="85">
    <w:nsid w:val="73A1821B"/>
    <w:multiLevelType w:val="hybridMultilevel"/>
    <w:lvl w:ilvl="0">
      <w:lvlJc w:val="left"/>
      <w:lvlText w:val="(%1)"/>
      <w:numFmt w:val="lowerRoman"/>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1)"/>
      <w:numFmt w:val="decimal"/>
      <w:start w:val="2"/>
    </w:lvl>
  </w:abstractNum>
  <w:abstractNum w:abstractNumId="89">
    <w:nsid w:val="14FCE74E"/>
    <w:multiLevelType w:val="hybridMultilevel"/>
    <w:lvl w:ilvl="0">
      <w:lvlJc w:val="left"/>
      <w:lvlText w:val="(%1)"/>
      <w:numFmt w:val="decimal"/>
      <w:start w:val="9"/>
    </w:lvl>
  </w:abstractNum>
  <w:abstractNum w:abstractNumId="90">
    <w:nsid w:val="6A3DD3E8"/>
    <w:multiLevelType w:val="hybridMultilevel"/>
    <w:lvl w:ilvl="0">
      <w:lvlJc w:val="left"/>
      <w:lvlText w:val="(%1)"/>
      <w:numFmt w:val="decimal"/>
      <w:start w:val="17"/>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1)"/>
      <w:numFmt w:val="lowerRoman"/>
      <w:start w:val="2"/>
    </w:lvl>
  </w:abstractNum>
  <w:abstractNum w:abstractNumId="93">
    <w:nsid w:val="53299938"/>
    <w:multiLevelType w:val="hybridMultilevel"/>
    <w:lvl w:ilvl="0">
      <w:lvlJc w:val="left"/>
      <w:lvlText w:val="(%1)"/>
      <w:numFmt w:val="decimal"/>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1"/>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1)"/>
      <w:numFmt w:val="lowerRoman"/>
      <w:start w:val="6"/>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1)"/>
      <w:numFmt w:val="decimal"/>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1)"/>
      <w:numFmt w:val="lowerRoman"/>
      <w:start w:val="1"/>
    </w:lvl>
  </w:abstractNum>
  <w:abstractNum w:abstractNumId="103">
    <w:nsid w:val="1CA0C5FA"/>
    <w:multiLevelType w:val="hybridMultilevel"/>
    <w:lvl w:ilvl="0">
      <w:lvlJc w:val="left"/>
      <w:lvlText w:val="(%1)"/>
      <w:numFmt w:val="decimal"/>
      <w:start w:val="1"/>
    </w:lvl>
  </w:abstractNum>
  <w:abstractNum w:abstractNumId="104">
    <w:nsid w:val="53584BCB"/>
    <w:multiLevelType w:val="hybridMultilevel"/>
    <w:lvl w:ilvl="0">
      <w:lvlJc w:val="left"/>
      <w:lvlText w:val="$"/>
      <w:numFmt w:val="bullet"/>
      <w:start w:val="1"/>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1)"/>
      <w:numFmt w:val="decimal"/>
      <w:start w:val="1"/>
    </w:lvl>
  </w:abstractNum>
  <w:abstractNum w:abstractNumId="107">
    <w:nsid w:val="23D86AAC"/>
    <w:multiLevelType w:val="hybridMultilevel"/>
    <w:lvl w:ilvl="0">
      <w:lvlJc w:val="left"/>
      <w:lvlText w:val="(%1)"/>
      <w:numFmt w:val="decimal"/>
      <w:start w:val="1"/>
    </w:lvl>
  </w:abstractNum>
  <w:abstractNum w:abstractNumId="108">
    <w:nsid w:val="45E6D486"/>
    <w:multiLevelType w:val="hybridMultilevel"/>
    <w:lvl w:ilvl="0">
      <w:lvlJc w:val="left"/>
      <w:lvlText w:val="(%1)"/>
      <w:numFmt w:val="decimal"/>
      <w:start w:val="1"/>
    </w:lvl>
  </w:abstractNum>
  <w:abstractNum w:abstractNumId="109">
    <w:nsid w:val="5C10FE21"/>
    <w:multiLevelType w:val="hybridMultilevel"/>
    <w:lvl w:ilvl="0">
      <w:lvlJc w:val="left"/>
      <w:lvlText w:val="(%1)"/>
      <w:numFmt w:val="decimal"/>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1)"/>
      <w:numFmt w:val="decimal"/>
      <w:start w:val="12"/>
    </w:lvl>
  </w:abstractNum>
  <w:abstractNum w:abstractNumId="112">
    <w:nsid w:val="4BD8591A"/>
    <w:multiLevelType w:val="hybridMultilevel"/>
    <w:lvl w:ilvl="0">
      <w:lvlJc w:val="left"/>
      <w:lvlText w:val="(%1)"/>
      <w:numFmt w:val="decimal"/>
      <w:start w:val="1"/>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decimal"/>
      <w:start w:val="11"/>
    </w:lvl>
    <w:lvl w:ilvl="1">
      <w:lvlJc w:val="left"/>
      <w:lvlText w:val="•"/>
      <w:numFmt w:val="bullet"/>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2026-01-15T16:49:57Z</dcterms:created>
  <dcterms:modified xsi:type="dcterms:W3CDTF">2026-01-15T16:49:57Z</dcterms:modified>
</cp:coreProperties>
</file>