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333-292600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3,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19,580,843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6350</wp:posOffset>
            </wp:positionV>
            <wp:extent cx="180848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Offered by the Selling Securityholders</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March 3, 2026 (the “Prospectus”), relating to the proposed resale 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other disposition by the selling securityholders identified in the Prospectus of up to an aggregate of 19,580,843 ordinary shares with a par value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US$0.001 per share (“Ordinary Shares”) of Crescent Biopharma, Inc. (the “Company”), consisting of (i) 13,534,837 outstanding Ordinary Shares issued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pursuant to the Private Placement (as defined in the Prospectus), (ii) 131,434 Ordinary Shares issuable upon the exercise of pre-funded warrants issued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pursuant to the Private Placement and (iii) 1,387,866 outstanding Ordinary Shares, 1,636,706 Ordinary Shares issuable upon the exercise of pre-funded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warrants, and 2,890,000 Ordinary Shares issuable upon the conversion of Series A non-voting convertible preferred shares, in each case, held by Fairmount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Healthcare Fund II L.P. as of immediately prior to the closing of the Private Placement, which forms a part of our Registration Statement on Form S-1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No. 333-292600).</w:t>
      </w:r>
    </w:p>
    <w:p>
      <w:pPr>
        <w:spacing w:after="0" w:line="220" w:lineRule="exact"/>
        <w:rPr>
          <w:sz w:val="24"/>
          <w:szCs w:val="24"/>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Prospectus with the information contained in our Current Report on Form 8-K, dated June 3, 2026, and Amendment No. 1 to our Quarterly Report on Form 10-Q for the quarterly period ended March 31, 2026 filed with the Securities and Exchange Commission.</w:t>
      </w:r>
    </w:p>
    <w:p>
      <w:pPr>
        <w:spacing w:after="0" w:line="217"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Stock Market (“Nasdaq”) under the symbol “CBIO”. On June 18, 2026, the closing sale price of our Ordinary Shares was $17.69 per share.</w:t>
      </w:r>
    </w:p>
    <w:p>
      <w:pPr>
        <w:spacing w:after="0" w:line="185" w:lineRule="exact"/>
        <w:rPr>
          <w:sz w:val="24"/>
          <w:szCs w:val="24"/>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9 OF THE PROSPECTUS.</w:t>
      </w:r>
    </w:p>
    <w:p>
      <w:pPr>
        <w:spacing w:after="0" w:line="182"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22, 2026.</w:t>
      </w:r>
    </w:p>
    <w:p>
      <w:pPr>
        <w:sectPr>
          <w:pgSz w:w="11900" w:h="16838" w:orient="portrait"/>
          <w:cols w:equalWidth="0" w:num="1">
            <w:col w:w="11240"/>
          </w:cols>
          <w:pgMar w:left="320" w:top="1440" w:right="339" w:bottom="1440" w:gutter="0" w:footer="0" w:header="0"/>
        </w:sectPr>
      </w:pPr>
    </w:p>
    <w:bookmarkStart w:id="1" w:name="page2"/>
    <w:bookmarkEnd w:id="1"/>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Crescent Biopharma,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2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001-36177</w:t>
            </w:r>
          </w:p>
        </w:tc>
        <w:tc>
          <w:tcPr>
            <w:tcW w:w="25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06-1686563</w:t>
            </w:r>
          </w:p>
        </w:tc>
      </w:tr>
      <w:tr>
        <w:trPr>
          <w:trHeight w:val="205"/>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8"/>
              </w:rPr>
              <w:t>300 Fifth Avenue</w:t>
            </w:r>
          </w:p>
        </w:tc>
        <w:tc>
          <w:tcPr>
            <w:tcW w:w="32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8"/>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280" w:type="dxa"/>
            <w:vAlign w:val="bottom"/>
          </w:tcPr>
          <w:p>
            <w:pPr>
              <w:spacing w:after="0"/>
              <w:rPr>
                <w:sz w:val="20"/>
                <w:szCs w:val="20"/>
                <w:color w:val="auto"/>
              </w:rPr>
            </w:pP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19"/>
        </w:trPr>
        <w:tc>
          <w:tcPr>
            <w:tcW w:w="350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80" w:type="dxa"/>
            <w:vAlign w:val="bottom"/>
          </w:tcPr>
          <w:p>
            <w:pPr>
              <w:spacing w:after="0"/>
              <w:rPr>
                <w:sz w:val="19"/>
                <w:szCs w:val="19"/>
                <w:color w:val="auto"/>
              </w:rPr>
            </w:pP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430-5595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10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0"/>
          <w:szCs w:val="20"/>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r>
      <w:tr>
        <w:trPr>
          <w:trHeight w:val="236"/>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Ordinary Shares, $0.001 par value per 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CBIO</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1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 2026, Crescent Biopharma, Inc. (the “Company”) held its annual general meeting of shareholders (the “Annual Meeting”). At the close of business on April 7, 2026, the record date for the Annual Meeting (the “Record Date”), 27,571,935 ordinary shares, par value $0.001 per share (“Ordinary Shares”), were issued and outstanding, and 2,890 Series A non-voting convertible preferred shares, par value $0.001 per share (“Series A Preferred Shares”), were issued and outstanding. Each Ordinary Share was entitled to one vote per share for the election of Susan Moran, M.D., MSCE and one vote on each of proposals 3, 4 and 5. The holders of each Series A Preferred Share were entitled to 1,000 votes per share, voting as a separate class for the election of Jonathan Violin, Ph.D. and voting together with the holders of Ordinary Shares as a single class for the election of Susan Moran, M.D., MSCE, and were not entitled to vote on any other proposal. The following are the voting results for the proposals considered and voted upon at the Annual Meeting, each of which was described in the Company’s definitive proxy statement for the Annual Meeting filed with the Securities and Exchange Commission on April 21, 2026.</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Proposal No. 1A and Proposal No. 1B - Election of two Class II directors to serve until the Company’s 2029 Annual General Meeting of Shareholders and until their respective successors have been duly elected and qualified or until their earlier death, resignation, disqualification or removal.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Violin, Ph.D. (Proposal No. 1A)</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2,890,000</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Moran, M.D., MSCE (Proposal No. 1B)</w:t>
            </w:r>
          </w:p>
        </w:tc>
        <w:tc>
          <w:tcPr>
            <w:tcW w:w="2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21,401,136</w:t>
            </w:r>
          </w:p>
        </w:tc>
        <w:tc>
          <w:tcPr>
            <w:tcW w:w="100" w:type="dxa"/>
            <w:vAlign w:val="bottom"/>
          </w:tcPr>
          <w:p>
            <w:pPr>
              <w:spacing w:after="0"/>
              <w:rPr>
                <w:sz w:val="20"/>
                <w:szCs w:val="20"/>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136,056</w:t>
            </w:r>
          </w:p>
        </w:tc>
        <w:tc>
          <w:tcPr>
            <w:tcW w:w="100" w:type="dxa"/>
            <w:vAlign w:val="bottom"/>
          </w:tcPr>
          <w:p>
            <w:pPr>
              <w:spacing w:after="0"/>
              <w:rPr>
                <w:sz w:val="20"/>
                <w:szCs w:val="20"/>
                <w:color w:val="auto"/>
              </w:rPr>
            </w:pP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2,403,515</w:t>
            </w:r>
          </w:p>
        </w:tc>
      </w:tr>
    </w:tbl>
    <w:p>
      <w:pPr>
        <w:spacing w:after="0" w:line="3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Proposal No. 2 - Ratification of the appointment of PricewaterhouseCoopers LLP as the Company’s independent registered public accounting firm for the fiscal year ending December 31, 2026.</w:t>
      </w:r>
    </w:p>
    <w:tbl>
      <w:tblPr>
        <w:tblLayout w:type="fixed"/>
        <w:tblInd w:w="0" w:type="dxa"/>
        <w:tblCellMar>
          <w:top w:w="0" w:type="dxa"/>
          <w:left w:w="0" w:type="dxa"/>
          <w:bottom w:w="0" w:type="dxa"/>
          <w:right w:w="0" w:type="dxa"/>
        </w:tblCellMar>
      </w:tblPr>
      <w:tr>
        <w:trPr>
          <w:trHeight w:val="224"/>
        </w:trPr>
        <w:tc>
          <w:tcPr>
            <w:tcW w:w="26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Borders>
              <w:bottom w:val="single" w:sz="8" w:color="CFF0FC"/>
            </w:tcBorders>
          </w:tcPr>
          <w:p>
            <w:pPr>
              <w:spacing w:after="0"/>
              <w:rPr>
                <w:sz w:val="19"/>
                <w:szCs w:val="19"/>
                <w:color w:val="auto"/>
              </w:rPr>
            </w:pPr>
          </w:p>
        </w:tc>
        <w:tc>
          <w:tcPr>
            <w:tcW w:w="2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180" w:type="dxa"/>
            <w:vAlign w:val="bottom"/>
            <w:tcBorders>
              <w:bottom w:val="single" w:sz="8" w:color="CFF0FC"/>
            </w:tcBorders>
          </w:tcPr>
          <w:p>
            <w:pPr>
              <w:spacing w:after="0"/>
              <w:rPr>
                <w:sz w:val="19"/>
                <w:szCs w:val="19"/>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ABSTAINED</w:t>
            </w:r>
          </w:p>
        </w:tc>
        <w:tc>
          <w:tcPr>
            <w:tcW w:w="160" w:type="dxa"/>
            <w:vAlign w:val="bottom"/>
            <w:tcBorders>
              <w:bottom w:val="single" w:sz="8" w:color="CFF0FC"/>
            </w:tcBorders>
          </w:tcPr>
          <w:p>
            <w:pPr>
              <w:spacing w:after="0"/>
              <w:rPr>
                <w:sz w:val="19"/>
                <w:szCs w:val="19"/>
                <w:color w:val="auto"/>
              </w:rPr>
            </w:pPr>
          </w:p>
        </w:tc>
        <w:tc>
          <w:tcPr>
            <w:tcW w:w="2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21,049,101</w:t>
            </w:r>
          </w:p>
        </w:tc>
        <w:tc>
          <w:tcPr>
            <w:tcW w:w="160" w:type="dxa"/>
            <w:vAlign w:val="bottom"/>
            <w:shd w:val="clear" w:color="auto" w:fill="CFF0FC"/>
          </w:tcPr>
          <w:p>
            <w:pPr>
              <w:spacing w:after="0"/>
              <w:rPr>
                <w:sz w:val="19"/>
                <w:szCs w:val="19"/>
                <w:color w:val="auto"/>
              </w:rPr>
            </w:pPr>
          </w:p>
        </w:tc>
        <w:tc>
          <w:tcPr>
            <w:tcW w:w="268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19"/>
                <w:szCs w:val="19"/>
                <w:color w:val="auto"/>
              </w:rPr>
            </w:pPr>
          </w:p>
        </w:tc>
        <w:tc>
          <w:tcPr>
            <w:tcW w:w="2680" w:type="dxa"/>
            <w:vAlign w:val="bottom"/>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3 - Approval, on a non-binding advisory basis, of the compensation of the Company’s named executive officers.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0" w:type="dxa"/>
            <w:vAlign w:val="bottom"/>
            <w:tcBorders>
              <w:bottom w:val="single" w:sz="8" w:color="CFF0FC"/>
            </w:tcBorders>
          </w:tcPr>
          <w:p>
            <w:pPr>
              <w:spacing w:after="0"/>
              <w:rPr>
                <w:sz w:val="21"/>
                <w:szCs w:val="21"/>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160" w:type="dxa"/>
            <w:vAlign w:val="bottom"/>
            <w:tcBorders>
              <w:bottom w:val="single" w:sz="8" w:color="CFF0FC"/>
            </w:tcBorders>
          </w:tcPr>
          <w:p>
            <w:pPr>
              <w:spacing w:after="0"/>
              <w:rPr>
                <w:sz w:val="21"/>
                <w:szCs w:val="21"/>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60" w:type="dxa"/>
            <w:vAlign w:val="bottom"/>
            <w:tcBorders>
              <w:bottom w:val="single" w:sz="8" w:color="CFF0FC"/>
            </w:tcBorders>
          </w:tcPr>
          <w:p>
            <w:pPr>
              <w:spacing w:after="0"/>
              <w:rPr>
                <w:sz w:val="21"/>
                <w:szCs w:val="21"/>
                <w:color w:val="auto"/>
              </w:rPr>
            </w:pPr>
          </w:p>
        </w:tc>
        <w:tc>
          <w:tcPr>
            <w:tcW w:w="2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6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18,346,099</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300,217</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FF0FC"/>
          </w:tcPr>
          <w:p>
            <w:pPr>
              <w:spacing w:after="0"/>
              <w:rPr>
                <w:sz w:val="19"/>
                <w:szCs w:val="19"/>
                <w:color w:val="auto"/>
              </w:rPr>
            </w:pPr>
          </w:p>
        </w:tc>
        <w:tc>
          <w:tcPr>
            <w:tcW w:w="27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2,403,515</w:t>
            </w:r>
          </w:p>
        </w:tc>
      </w:tr>
    </w:tbl>
    <w:p>
      <w:pPr>
        <w:spacing w:after="0" w:line="3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Proposal No. 4 - Approval, on a non-binding advisory basis, of the frequency of future advisory votes to approve the compensation of the Company’s named executive officers.</w:t>
      </w:r>
    </w:p>
    <w:tbl>
      <w:tblPr>
        <w:tblLayout w:type="fixed"/>
        <w:tblInd w:w="0" w:type="dxa"/>
        <w:tblCellMar>
          <w:top w:w="0" w:type="dxa"/>
          <w:left w:w="0" w:type="dxa"/>
          <w:bottom w:w="0" w:type="dxa"/>
          <w:right w:w="0" w:type="dxa"/>
        </w:tblCellMar>
      </w:tblPr>
      <w:tr>
        <w:trPr>
          <w:trHeight w:val="238"/>
        </w:trPr>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YEAR</w:t>
            </w:r>
          </w:p>
        </w:tc>
        <w:tc>
          <w:tcPr>
            <w:tcW w:w="180" w:type="dxa"/>
            <w:vAlign w:val="bottom"/>
            <w:tcBorders>
              <w:bottom w:val="single" w:sz="8" w:color="CFF0FC"/>
            </w:tcBorders>
          </w:tcPr>
          <w:p>
            <w:pPr>
              <w:spacing w:after="0"/>
              <w:rPr>
                <w:sz w:val="20"/>
                <w:szCs w:val="20"/>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80" w:type="dxa"/>
            <w:vAlign w:val="bottom"/>
            <w:tcBorders>
              <w:bottom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80" w:type="dxa"/>
            <w:vAlign w:val="bottom"/>
            <w:tcBorders>
              <w:bottom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Borders>
              <w:bottom w:val="single" w:sz="8" w:color="CFF0FC"/>
            </w:tcBorders>
          </w:tcPr>
          <w:p>
            <w:pPr>
              <w:spacing w:after="0"/>
              <w:rPr>
                <w:sz w:val="20"/>
                <w:szCs w:val="20"/>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7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18,644,881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2,403,515</w:t>
            </w:r>
          </w:p>
        </w:tc>
      </w:tr>
      <w:tr>
        <w:trPr>
          <w:trHeight w:val="22"/>
        </w:trPr>
        <w:tc>
          <w:tcPr>
            <w:tcW w:w="17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foregoing votes, each of Jonathan Violin, Ph.D. and Susan Moran, M.D., MSCE was elected as a Class II director, Proposal 2 and Proposal 3 were approved, and shareholders recommended a one year frequency for future advisory votes to approve named executive officer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voting results and consistent with the recommendation of the Board of Directors of the Company (the “Board”), the Board has determined to hold an advisory vote on the compensation of the Company’s named executive officers every year until the next advisory vote regarding the frequency of future advisory votes on the compensation of the Company’s named executive officers is submitted to the shareholders or the Board otherwise determines that a different frequency for such advisory votes is in the best interest of the Company and its shareholders.</w:t>
      </w:r>
    </w:p>
    <w:p>
      <w:pPr>
        <w:sectPr>
          <w:pgSz w:w="11900" w:h="16838" w:orient="portrait"/>
          <w:cols w:equalWidth="0" w:num="1">
            <w:col w:w="11240"/>
          </w:cols>
          <w:pgMar w:left="320" w:top="113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CRESCENT BIOPHARMA, INC.</w:t>
            </w:r>
          </w:p>
        </w:tc>
        <w:tc>
          <w:tcPr>
            <w:tcW w:w="0" w:type="dxa"/>
            <w:vAlign w:val="bottom"/>
          </w:tcPr>
          <w:p>
            <w:pPr>
              <w:spacing w:after="0"/>
              <w:rPr>
                <w:sz w:val="1"/>
                <w:szCs w:val="1"/>
                <w:color w:val="auto"/>
              </w:rPr>
            </w:pPr>
          </w:p>
        </w:tc>
      </w:tr>
      <w:tr>
        <w:trPr>
          <w:trHeight w:val="54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7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Joshua Brumm</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76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Brumm</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27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43"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1143635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97" w:lineRule="exact"/>
        <w:rPr>
          <w:sz w:val="20"/>
          <w:szCs w:val="20"/>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09" w:lineRule="exact"/>
        <w:rPr>
          <w:sz w:val="20"/>
          <w:szCs w:val="20"/>
          <w:color w:val="auto"/>
        </w:rPr>
      </w:pPr>
    </w:p>
    <w:p>
      <w:pPr>
        <w:ind w:left="420" w:hanging="394"/>
        <w:spacing w:after="0"/>
        <w:tabs>
          <w:tab w:leader="none" w:pos="420" w:val="left"/>
        </w:tabs>
        <w:numPr>
          <w:ilvl w:val="0"/>
          <w:numId w:val="3"/>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001-36177</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Crescent Biopharma,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5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8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06-1686563</w:t>
            </w:r>
          </w:p>
        </w:tc>
      </w:tr>
      <w:tr>
        <w:trPr>
          <w:trHeight w:val="234"/>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83"/>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300 Fifth Avenue</w:t>
            </w:r>
          </w:p>
        </w:tc>
        <w:tc>
          <w:tcPr>
            <w:tcW w:w="3840" w:type="dxa"/>
            <w:vAlign w:val="bottom"/>
          </w:tcPr>
          <w:p>
            <w:pPr>
              <w:spacing w:after="0"/>
              <w:rPr>
                <w:sz w:val="24"/>
                <w:szCs w:val="24"/>
                <w:color w:val="auto"/>
              </w:rPr>
            </w:pPr>
          </w:p>
        </w:tc>
      </w:tr>
      <w:tr>
        <w:trPr>
          <w:trHeight w:val="265"/>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Waltham</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MA</w:t>
            </w:r>
          </w:p>
        </w:tc>
        <w:tc>
          <w:tcPr>
            <w:tcW w:w="38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34"/>
        </w:trPr>
        <w:tc>
          <w:tcPr>
            <w:tcW w:w="552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430-5595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CBIO</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8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440" w:right="31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340"/>
              <w:spacing w:after="0"/>
              <w:rPr>
                <w:sz w:val="20"/>
                <w:szCs w:val="20"/>
                <w:color w:val="auto"/>
              </w:rPr>
            </w:pPr>
            <w:r>
              <w:rPr>
                <w:rFonts w:ascii="Wingdings" w:cs="Wingdings" w:eastAsia="Wingdings" w:hAnsi="Wingdings"/>
                <w:sz w:val="18"/>
                <w:szCs w:val="18"/>
                <w:b w:val="1"/>
                <w:bCs w:val="1"/>
                <w:color w:val="auto"/>
              </w:rPr>
              <w:t>o</w:t>
            </w: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rPr>
                <w:sz w:val="20"/>
                <w:szCs w:val="20"/>
                <w:color w:val="auto"/>
              </w:rPr>
            </w:pPr>
            <w:r>
              <w:rPr>
                <w:rFonts w:ascii="Wingdings" w:cs="Wingdings" w:eastAsia="Wingdings" w:hAnsi="Wingdings"/>
                <w:sz w:val="18"/>
                <w:szCs w:val="18"/>
                <w:b w:val="1"/>
                <w:bCs w:val="1"/>
                <w:color w:val="auto"/>
                <w:w w:val="86"/>
              </w:rPr>
              <w:t>o</w:t>
            </w:r>
          </w:p>
        </w:tc>
      </w:tr>
      <w:tr>
        <w:trPr>
          <w:trHeight w:val="3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9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24, 2026, there were 27,571,935 of the issuer’s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Crescent Biopharma, Inc. (the “Company”) is filing this Amendment No. 1 on Form 10-Q/A (this “Amendment”) to its Quarterly Report on Form 10-Q for the quarterly period ended March 31, 2026, which was originally filed with the Securities and Exchange Commission (the “SEC”) on April 29, 2026 (the “Original Filing”). This Amendment is being filed to revise Part II “Item 5. Other Information” by adding disclosure regarding Rule 10b5-1 trading arrangements (as defined in Item 408(a) of Regulation S-K), which was inadvertently omitted from the Original Filing.</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as required by Rule 12b-15 of the Securities and Exchange Act of 1934, as amended (the “Exchange Act”), new certifications by the Company’s principal executive officer and principal financial officer are filed herewith as exhibits to this Amendment, under Part II, Item 6 hereof, pursuant to Rule 13a-14(a) or 15d-14(a) of the Exchange Act. Because no financial statements have been included in this Amendment and this Amendment does not contain or amend any disclosure with respect to Items 307 and 308 of Regulation S-K, paragraphs 3, 4 and 5 of the certifications have been omitted. The Company is also not including new certifications under Section 1350 of Chapter 63 of Title 18 of the United States Code (18 U.S.C. 1350) (Section 906 of the Sarbanes-Oxley Act of 2002), as no financial statements are being filed with this Amendment.</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than as expressly set forth herein, this Amendment does not, and does not purport to, amend, update or restate the information in the Original Filing or reflect any events that have occurred after the date the Original Filing was made. Information not affected by this Amendment remains unchanged and reflects the disclosures made at the time as of which the Original Filing was made. No changes have been made to the financial statements of the Company as contained in the Original Filing. Accordingly, this Amendment should be read together with the Original Filing and the Company’s other filings with the SEC.</w:t>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17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w:t>
      </w:r>
    </w:p>
    <w:p>
      <w:pPr>
        <w:spacing w:after="0" w:line="17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Trading Arrangements</w:t>
      </w:r>
    </w:p>
    <w:p>
      <w:pPr>
        <w:spacing w:after="0" w:line="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On February 25, 2026, each of (i) Joshua Brumm, our Chief Executive Officer and member of the Company’s Board of Directors, (ii) Jonathan McNeill, our Chief Operating Officer and President, (iii) Ellie Im, our Chief Medical Officer, (iv) Jan Pinkas, our Chief Scientific Officer, (v) Richard Scalzo, our Chief Financial Officer, (vi) Ryan Lynch, our Treasurer, Senior Vice President of Finance and Chief Accounting Officer, and (vii) Barbara Bispham Hale, our General Counsel and Corporate Secretary, adopted a Rule 10b5-1 trading arrangement intended to satisfy the affirmative defense of Rule 10b5-1(c) authorizing the pre-arranged sale of ordinary shares in order to satisfy tax withholding obligations of the Company that arise in connection with the vesting of any restricted stock units and/or performance stock units granted to them under the Crescent Biopharma, Inc. 2025 Stock Incentive Plan, the Crescent Biopharma, Inc. 2025 Employment Inducement Incentive Award Plan and the Crescent Biopharma, Inc. 2024 Equity Incentive Plan, as amended, including under any successor plan and the related issuance of ordinary shares (each, a “Sell-to-Cover 10b5-1 Instruction”). The number of ordinary shares to be sold to satisfy the Company’s tax withholding obligations under each Sell-to-Cover 10b5-1 Instruction is not currently determinable. Each person’s Sell-to-Cover 10b5-1 Instruction will remain in effect so long as taxes are required to be paid upon the vesting or settlement of restricted stock units or performance stock units awarded or to be awarded to such person, unless such person’s instruction letter is earlier terminated.</w:t>
      </w:r>
    </w:p>
    <w:p>
      <w:pPr>
        <w:spacing w:after="0" w:line="9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director or "officer" (as defined in Rule 16a-1(f)) adopted or terminated any Rule 10b5-1 trading arrangement and/or non-Rule 10b5-1 trading arrangement (in each case, as defined in Item 408 of Regulation S-K)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are set forth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tcPr>
          <w:p>
            <w:pPr>
              <w:spacing w:after="0"/>
              <w:rPr>
                <w:sz w:val="13"/>
                <w:szCs w:val="13"/>
                <w:color w:val="auto"/>
              </w:rPr>
            </w:pPr>
          </w:p>
        </w:tc>
        <w:tc>
          <w:tcPr>
            <w:tcW w:w="52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0" w:type="dxa"/>
            <w:vAlign w:val="bottom"/>
          </w:tcPr>
          <w:p>
            <w:pPr>
              <w:spacing w:after="0"/>
              <w:rPr>
                <w:sz w:val="1"/>
                <w:szCs w:val="1"/>
                <w:color w:val="auto"/>
              </w:rPr>
            </w:pPr>
          </w:p>
        </w:tc>
      </w:tr>
      <w:tr>
        <w:trPr>
          <w:trHeight w:val="195"/>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4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7880" w:type="dxa"/>
            <w:vAlign w:val="bottom"/>
            <w:gridSpan w:val="4"/>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Certification of the Principal Executive Officer pursuant to Rule 13a-14(a) or 15d-14(a) promulgated under</w:t>
              </w:r>
            </w:hyperlink>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6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the Securities Exchange Act of 1934</w:t>
              </w:r>
            </w:hyperlink>
          </w:p>
        </w:tc>
        <w:tc>
          <w:tcPr>
            <w:tcW w:w="5080" w:type="dxa"/>
            <w:vAlign w:val="bottom"/>
            <w:tcBorders>
              <w:top w:val="single" w:sz="8" w:color="0000FF"/>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76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Certification of the Principal Financial Officer pursuant to Rule 13a-14(a) or 15d-14(a) promulgated under</w:t>
              </w:r>
            </w:hyperlink>
          </w:p>
        </w:tc>
        <w:tc>
          <w:tcPr>
            <w:tcW w:w="20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the Securities Exchange Act of 1934</w:t>
              </w:r>
            </w:hyperlink>
          </w:p>
        </w:tc>
        <w:tc>
          <w:tcPr>
            <w:tcW w:w="52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80" w:right="2660" w:hanging="681"/>
        <w:spacing w:after="0" w:line="23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Crescent Biopharma, Inc.</w:t>
            </w:r>
          </w:p>
        </w:tc>
        <w:tc>
          <w:tcPr>
            <w:tcW w:w="3640" w:type="dxa"/>
            <w:vAlign w:val="bottom"/>
          </w:tcPr>
          <w:p>
            <w:pPr>
              <w:spacing w:after="0"/>
              <w:rPr>
                <w:sz w:val="20"/>
                <w:szCs w:val="20"/>
                <w:color w:val="auto"/>
              </w:rPr>
            </w:pP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Joshua Brumm</w:t>
            </w:r>
          </w:p>
        </w:tc>
      </w:tr>
      <w:tr>
        <w:trPr>
          <w:trHeight w:val="205"/>
        </w:trPr>
        <w:tc>
          <w:tcPr>
            <w:tcW w:w="3140" w:type="dxa"/>
            <w:vAlign w:val="bottom"/>
          </w:tcPr>
          <w:p>
            <w:pPr>
              <w:spacing w:after="0"/>
              <w:rPr>
                <w:sz w:val="17"/>
                <w:szCs w:val="17"/>
                <w:color w:val="auto"/>
              </w:rPr>
            </w:pPr>
          </w:p>
        </w:tc>
        <w:tc>
          <w:tcPr>
            <w:tcW w:w="4440" w:type="dxa"/>
            <w:vAlign w:val="bottom"/>
          </w:tcPr>
          <w:p>
            <w:pPr>
              <w:ind w:left="1700"/>
              <w:spacing w:after="0" w:line="205" w:lineRule="exact"/>
              <w:rPr>
                <w:sz w:val="20"/>
                <w:szCs w:val="20"/>
                <w:color w:val="auto"/>
              </w:rPr>
            </w:pPr>
            <w:r>
              <w:rPr>
                <w:rFonts w:ascii="Times New Roman" w:cs="Times New Roman" w:eastAsia="Times New Roman" w:hAnsi="Times New Roman"/>
                <w:sz w:val="18"/>
                <w:szCs w:val="18"/>
                <w:color w:val="auto"/>
              </w:rPr>
              <w:t>Joshua Brumm</w:t>
            </w:r>
          </w:p>
        </w:tc>
        <w:tc>
          <w:tcPr>
            <w:tcW w:w="3640" w:type="dxa"/>
            <w:vAlign w:val="bottom"/>
          </w:tcPr>
          <w:p>
            <w:pPr>
              <w:spacing w:after="0"/>
              <w:rPr>
                <w:sz w:val="17"/>
                <w:szCs w:val="17"/>
                <w:color w:val="auto"/>
              </w:rPr>
            </w:pPr>
          </w:p>
        </w:tc>
      </w:tr>
      <w:tr>
        <w:trPr>
          <w:trHeight w:val="228"/>
        </w:trPr>
        <w:tc>
          <w:tcPr>
            <w:tcW w:w="3140" w:type="dxa"/>
            <w:vAlign w:val="bottom"/>
          </w:tcPr>
          <w:p>
            <w:pPr>
              <w:spacing w:after="0"/>
              <w:rPr>
                <w:sz w:val="19"/>
                <w:szCs w:val="19"/>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Chief Executive Officer</w:t>
            </w:r>
          </w:p>
        </w:tc>
        <w:tc>
          <w:tcPr>
            <w:tcW w:w="3640" w:type="dxa"/>
            <w:vAlign w:val="bottom"/>
          </w:tcPr>
          <w:p>
            <w:pPr>
              <w:spacing w:after="0"/>
              <w:rPr>
                <w:sz w:val="19"/>
                <w:szCs w:val="19"/>
                <w:color w:val="auto"/>
              </w:rPr>
            </w:pPr>
          </w:p>
        </w:tc>
      </w:tr>
      <w:tr>
        <w:trPr>
          <w:trHeight w:val="236"/>
        </w:trPr>
        <w:tc>
          <w:tcPr>
            <w:tcW w:w="3140" w:type="dxa"/>
            <w:vAlign w:val="bottom"/>
          </w:tcPr>
          <w:p>
            <w:pPr>
              <w:spacing w:after="0"/>
              <w:rPr>
                <w:sz w:val="20"/>
                <w:szCs w:val="20"/>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40" w:type="dxa"/>
            <w:vAlign w:val="bottom"/>
          </w:tcPr>
          <w:p>
            <w:pPr>
              <w:spacing w:after="0"/>
              <w:rPr>
                <w:sz w:val="20"/>
                <w:szCs w:val="20"/>
                <w:color w:val="auto"/>
              </w:rPr>
            </w:pP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Scalzo</w:t>
            </w:r>
          </w:p>
        </w:tc>
      </w:tr>
      <w:tr>
        <w:trPr>
          <w:trHeight w:val="205"/>
        </w:trPr>
        <w:tc>
          <w:tcPr>
            <w:tcW w:w="3140" w:type="dxa"/>
            <w:vAlign w:val="bottom"/>
          </w:tcPr>
          <w:p>
            <w:pPr>
              <w:spacing w:after="0"/>
              <w:rPr>
                <w:sz w:val="17"/>
                <w:szCs w:val="17"/>
                <w:color w:val="auto"/>
              </w:rPr>
            </w:pPr>
          </w:p>
        </w:tc>
        <w:tc>
          <w:tcPr>
            <w:tcW w:w="4440" w:type="dxa"/>
            <w:vAlign w:val="bottom"/>
          </w:tcPr>
          <w:p>
            <w:pPr>
              <w:ind w:left="1700"/>
              <w:spacing w:after="0" w:line="205" w:lineRule="exact"/>
              <w:rPr>
                <w:sz w:val="20"/>
                <w:szCs w:val="20"/>
                <w:color w:val="auto"/>
              </w:rPr>
            </w:pPr>
            <w:r>
              <w:rPr>
                <w:rFonts w:ascii="Times New Roman" w:cs="Times New Roman" w:eastAsia="Times New Roman" w:hAnsi="Times New Roman"/>
                <w:sz w:val="18"/>
                <w:szCs w:val="18"/>
                <w:color w:val="auto"/>
              </w:rPr>
              <w:t>Richard Scalzo</w:t>
            </w:r>
          </w:p>
        </w:tc>
        <w:tc>
          <w:tcPr>
            <w:tcW w:w="3640" w:type="dxa"/>
            <w:vAlign w:val="bottom"/>
          </w:tcPr>
          <w:p>
            <w:pPr>
              <w:spacing w:after="0"/>
              <w:rPr>
                <w:sz w:val="17"/>
                <w:szCs w:val="17"/>
                <w:color w:val="auto"/>
              </w:rPr>
            </w:pPr>
          </w:p>
        </w:tc>
      </w:tr>
      <w:tr>
        <w:trPr>
          <w:trHeight w:val="228"/>
        </w:trPr>
        <w:tc>
          <w:tcPr>
            <w:tcW w:w="3140" w:type="dxa"/>
            <w:vAlign w:val="bottom"/>
          </w:tcPr>
          <w:p>
            <w:pPr>
              <w:spacing w:after="0"/>
              <w:rPr>
                <w:sz w:val="19"/>
                <w:szCs w:val="19"/>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640" w:type="dxa"/>
            <w:vAlign w:val="bottom"/>
          </w:tcPr>
          <w:p>
            <w:pPr>
              <w:spacing w:after="0"/>
              <w:rPr>
                <w:sz w:val="19"/>
                <w:szCs w:val="19"/>
                <w:color w:val="auto"/>
              </w:rPr>
            </w:pPr>
          </w:p>
        </w:tc>
      </w:tr>
      <w:tr>
        <w:trPr>
          <w:trHeight w:val="236"/>
        </w:trPr>
        <w:tc>
          <w:tcPr>
            <w:tcW w:w="3140" w:type="dxa"/>
            <w:vAlign w:val="bottom"/>
          </w:tcPr>
          <w:p>
            <w:pPr>
              <w:spacing w:after="0"/>
              <w:rPr>
                <w:sz w:val="20"/>
                <w:szCs w:val="20"/>
                <w:color w:val="auto"/>
              </w:rPr>
            </w:pPr>
          </w:p>
        </w:tc>
        <w:tc>
          <w:tcPr>
            <w:tcW w:w="4440" w:type="dxa"/>
            <w:vAlign w:val="bottom"/>
          </w:tcPr>
          <w:p>
            <w:pPr>
              <w:ind w:left="1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3640" w:type="dxa"/>
            <w:vAlign w:val="bottom"/>
          </w:tcPr>
          <w:p>
            <w:pPr>
              <w:spacing w:after="0"/>
              <w:rPr>
                <w:sz w:val="20"/>
                <w:szCs w:val="20"/>
                <w:color w:val="auto"/>
              </w:rPr>
            </w:pPr>
          </w:p>
        </w:tc>
      </w:tr>
    </w:tbl>
    <w:p>
      <w:pPr>
        <w:sectPr>
          <w:pgSz w:w="11900" w:h="16838" w:orient="portrait"/>
          <w:cols w:equalWidth="0" w:num="1">
            <w:col w:w="11240"/>
          </w:cols>
          <w:pgMar w:left="320" w:top="1413" w:right="339" w:bottom="1440" w:gutter="0" w:footer="0" w:header="0"/>
        </w:sectPr>
      </w:pPr>
    </w:p>
    <w:bookmarkStart w:id="8" w:name="page9"/>
    <w:bookmarkEnd w:id="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hyperlink" Target="https://www.sec.gov/Archives/edgar/data/1253689/000162828026044713/cbio-10qaexhibit311peo.htm" TargetMode="External"/><Relationship Id="rId18" Type="http://schemas.openxmlformats.org/officeDocument/2006/relationships/hyperlink" Target="https://www.sec.gov/Archives/edgar/data/1253689/000162828026044713/cbio-10qaexhibit312p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2026-06-22T16:31:55Z</dcterms:created>
  <dcterms:modified xsi:type="dcterms:W3CDTF">2026-06-22T16:31:55Z</dcterms:modified>
</cp:coreProperties>
</file>