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right"/>
        <w:rPr>
          <w:rFonts w:ascii="Times New Roman;serif" w:hAnsi="Times New Roman;serif"/>
          <w:b w:val="false"/>
          <w:color w:val="000000"/>
          <w:sz w:val="20"/>
        </w:rPr>
      </w:pPr>
      <w:bookmarkStart w:id="0" w:name="i4626d202fb7d41d9a572159148ed960d_3156"/>
      <w:bookmarkEnd w:id="0"/>
      <w:r>
        <w:rPr>
          <w:rFonts w:ascii="Times New Roman;serif" w:hAnsi="Times New Roman;serif"/>
          <w:b w:val="false"/>
          <w:color w:val="000000"/>
          <w:sz w:val="20"/>
        </w:rPr>
        <w:t>Filed Pursuant to Rule 424(b)(5)</w:t>
        <w:br/>
        <w:t>Registration No. 333-297199</w: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17"/>
        </w:rPr>
      </w:pPr>
      <w:r>
        <w:rPr>
          <w:rFonts w:ascii="Times New Roman;serif" w:hAnsi="Times New Roman;serif"/>
          <w:b/>
          <w:color w:val="000000"/>
          <w:sz w:val="17"/>
        </w:rPr>
        <w:t>PROSPECTUS SUPPLEMENT</w:t>
      </w:r>
    </w:p>
    <w:p>
      <w:pPr>
        <w:pStyle w:val="TextBody"/>
        <w:bidi w:val="0"/>
        <w:spacing w:lineRule="auto" w:line="288" w:before="160" w:after="283"/>
        <w:jc w:val="left"/>
        <w:rPr>
          <w:rFonts w:ascii="Times New Roman;serif" w:hAnsi="Times New Roman;serif"/>
          <w:b/>
          <w:color w:val="000000"/>
          <w:sz w:val="17"/>
        </w:rPr>
      </w:pPr>
      <w:r>
        <w:rPr>
          <w:rFonts w:ascii="Times New Roman;serif" w:hAnsi="Times New Roman;serif"/>
          <w:b/>
          <w:color w:val="000000"/>
          <w:sz w:val="17"/>
        </w:rPr>
        <w:t xml:space="preserve">(To Prospectus Dated July 10, 2026) </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0" w:after="0"/>
        <w:jc w:val="center"/>
        <w:rPr/>
      </w:pPr>
      <w:r>
        <w:rPr/>
        <w:drawing>
          <wp:inline distT="0" distB="0" distL="0" distR="0">
            <wp:extent cx="20097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733425"/>
                    </a:xfrm>
                    <a:prstGeom prst="rect">
                      <a:avLst/>
                    </a:prstGeom>
                  </pic:spPr>
                </pic:pic>
              </a:graphicData>
            </a:graphic>
          </wp:inline>
        </w:drawing>
      </w:r>
    </w:p>
    <w:p>
      <w:pPr>
        <w:pStyle w:val="TextBody"/>
        <w:bidi w:val="0"/>
        <w:spacing w:lineRule="auto" w:line="288" w:before="320" w:after="283"/>
        <w:jc w:val="center"/>
        <w:rPr>
          <w:rFonts w:ascii="Times New Roman;serif" w:hAnsi="Times New Roman;serif"/>
          <w:b/>
          <w:color w:val="000000"/>
          <w:sz w:val="32"/>
        </w:rPr>
      </w:pPr>
      <w:r>
        <w:rPr>
          <w:rFonts w:ascii="Times New Roman;serif" w:hAnsi="Times New Roman;serif"/>
          <w:b/>
          <w:color w:val="000000"/>
          <w:sz w:val="32"/>
        </w:rPr>
        <w:t>8,094,793 Ordinary Shares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525,897 Pre-Funded Warrants to Purchase Ordinary Shares</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We are offering 8,094,793 ordinary shares. We are also offering, in lieu of ordinary shares to investors that so choose, pre-funded warrants to purchase 525,897 ordinary shares. The purchase price of each pre-funded warrant will equal the price per share at which our ordinary shares are being sold to the public in this offering, minus $0.001, which is the exercise price of each pre-funded warrant. Each pre-funded warrant will be exercisable at any time after the date of issuance of such pre-funded warrant, subject to an ownership limitation. This prospectus supplement also relates to the offering of the ordinary shares issuable upon the exercise of such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ordinary shares are traded on The Nasdaq Capital Market under the symbol “CBIO.” On July 14, 2026, the last reported sale price for our ordinary shares was $15.31 per share. There is no established public trading market for the pre-funded warrants, and we do not expect a market to develop. We do not intend to list the pre-funded warrants on The Nasdaq Capital Market or any other national securities exchange or nationally recognized trading system.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under the U.S. federal securities laws and, as such, have elected to comply with certain reduced public company reporting requirements. See “Prospectus Supplement Summary - Implications of Being a Smaller Reporting Company.”</w:t>
      </w:r>
    </w:p>
    <w:p>
      <w:pPr>
        <w:pStyle w:val="TextBody"/>
        <w:bidi w:val="0"/>
        <w:spacing w:lineRule="auto" w:line="240" w:before="0" w:after="200"/>
        <w:jc w:val="left"/>
        <w:rPr/>
      </w:pPr>
      <w:r>
        <w:rPr>
          <w:rFonts w:ascii="Times New Roman;serif" w:hAnsi="Times New Roman;serif"/>
          <w:b/>
          <w:color w:val="000000"/>
          <w:sz w:val="20"/>
        </w:rPr>
        <w:t xml:space="preserve">Investing in our securities involves a high degree of risk. See “Risk Factors” beginning on page </w:t>
      </w:r>
      <w:hyperlink w:anchor="ia4e27873938b4bdabc44ac1e6d93c8ea_13">
        <w:r>
          <w:rPr>
            <w:rStyle w:val="InternetLink"/>
            <w:rFonts w:ascii="Times New Roman;serif" w:hAnsi="Times New Roman;serif"/>
            <w:b/>
            <w:color w:val="0000FF"/>
            <w:sz w:val="20"/>
            <w:u w:val="single"/>
          </w:rPr>
          <w:t xml:space="preserve">S-4 </w:t>
        </w:r>
      </w:hyperlink>
      <w:r>
        <w:rPr>
          <w:rFonts w:ascii="Times New Roman;serif" w:hAnsi="Times New Roman;serif"/>
          <w:b/>
          <w:color w:val="000000"/>
          <w:sz w:val="20"/>
        </w:rPr>
        <w:t xml:space="preserve">of this prospectus supplement, on page </w:t>
      </w:r>
      <w:hyperlink w:anchor="ia4e27873938b4bdabc44ac1e6d93c8ea_37">
        <w:r>
          <w:rPr>
            <w:rStyle w:val="InternetLink"/>
            <w:rFonts w:ascii="Times New Roman;serif" w:hAnsi="Times New Roman;serif"/>
            <w:b/>
            <w:color w:val="0000FF"/>
            <w:sz w:val="20"/>
            <w:u w:val="single"/>
          </w:rPr>
          <w:t>6</w:t>
        </w:r>
      </w:hyperlink>
      <w:r>
        <w:rPr>
          <w:color w:val="000000"/>
        </w:rPr>
        <w:t xml:space="preserve"> </w:t>
      </w:r>
      <w:r>
        <w:rPr>
          <w:rFonts w:ascii="Times New Roman;serif" w:hAnsi="Times New Roman;serif"/>
          <w:b/>
          <w:color w:val="000000"/>
          <w:sz w:val="20"/>
        </w:rPr>
        <w:t xml:space="preserve">of the accompanying prospectus and the documents incorporated by reference into this prospectus supplement and the accompanying prospectus. </w:t>
      </w:r>
    </w:p>
    <w:p>
      <w:pPr>
        <w:pStyle w:val="TextBody"/>
        <w:bidi w:val="0"/>
        <w:spacing w:lineRule="auto" w:line="240" w:before="0" w:after="20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tbl>
      <w:tblPr>
        <w:tblW w:w="10205" w:type="dxa"/>
        <w:jc w:val="center"/>
        <w:tblInd w:w="0" w:type="dxa"/>
        <w:tblLayout w:type="fixed"/>
        <w:tblCellMar>
          <w:top w:w="28" w:type="dxa"/>
          <w:left w:w="28" w:type="dxa"/>
          <w:bottom w:w="28" w:type="dxa"/>
          <w:right w:w="28" w:type="dxa"/>
        </w:tblCellMar>
      </w:tblPr>
      <w:tblGrid>
        <w:gridCol w:w="1510"/>
        <w:gridCol w:w="1266"/>
        <w:gridCol w:w="1276"/>
        <w:gridCol w:w="109"/>
        <w:gridCol w:w="109"/>
        <w:gridCol w:w="109"/>
        <w:gridCol w:w="250"/>
        <w:gridCol w:w="730"/>
        <w:gridCol w:w="128"/>
        <w:gridCol w:w="109"/>
        <w:gridCol w:w="109"/>
        <w:gridCol w:w="109"/>
        <w:gridCol w:w="507"/>
        <w:gridCol w:w="1737"/>
        <w:gridCol w:w="264"/>
        <w:gridCol w:w="109"/>
        <w:gridCol w:w="109"/>
        <w:gridCol w:w="109"/>
        <w:gridCol w:w="211"/>
        <w:gridCol w:w="1186"/>
        <w:gridCol w:w="159"/>
      </w:tblGrid>
      <w:tr>
        <w:trPr/>
        <w:tc>
          <w:tcPr>
            <w:tcW w:w="151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8"/>
              </w:rPr>
            </w:pPr>
            <w:r>
              <w:rPr>
                <w:rFonts w:ascii="Times New Roman;serif" w:hAnsi="Times New Roman;serif"/>
                <w:b/>
                <w:color w:val="000000"/>
                <w:sz w:val="18"/>
              </w:rPr>
              <w:t>PER PRE-FUNDED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ind w:left="0" w:right="0" w:hanging="20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88" w:before="0" w:after="16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14.499 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124,999,479 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20"/>
              </w:rPr>
              <w:t>Underwriting Discounts and Commissions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7,500,000 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Crescent Biopharma,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13.629 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117,499,479 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9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50"/>
        <w:gridCol w:w="1550"/>
        <w:gridCol w:w="21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5"/>
              </w:rPr>
            </w:pPr>
            <w:r>
              <w:rPr>
                <w:rFonts w:ascii="Times New Roman;serif" w:hAnsi="Times New Roman;serif"/>
                <w:b w:val="false"/>
                <w:color w:val="000000"/>
                <w:sz w:val="15"/>
              </w:rPr>
              <w:t xml:space="preserve">See “Underwriting” for additional information regarding underwriting compensation.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Delivery of the securities is expected to be made on or about July 16, 2026. We have granted the underwriters an option for a period of 30 days to purchase up to an additional 1,293,103 ordinary shares. If the underwriters exercise the option in full, the total underwriting discounts and commissions payable by us will be approximately $8,625,000 and the total proceeds to us, before expenses, will be approximately $135,124,473.</w:t>
      </w:r>
    </w:p>
    <w:tbl>
      <w:tblPr>
        <w:tblW w:w="7125" w:type="dxa"/>
        <w:jc w:val="center"/>
        <w:tblInd w:w="0" w:type="dxa"/>
        <w:tblLayout w:type="fixed"/>
        <w:tblCellMar>
          <w:top w:w="28" w:type="dxa"/>
          <w:left w:w="28" w:type="dxa"/>
          <w:bottom w:w="28" w:type="dxa"/>
          <w:right w:w="28" w:type="dxa"/>
        </w:tblCellMar>
      </w:tblPr>
      <w:tblGrid>
        <w:gridCol w:w="451"/>
        <w:gridCol w:w="397"/>
        <w:gridCol w:w="398"/>
        <w:gridCol w:w="514"/>
        <w:gridCol w:w="514"/>
        <w:gridCol w:w="516"/>
        <w:gridCol w:w="1069"/>
        <w:gridCol w:w="1069"/>
        <w:gridCol w:w="1071"/>
        <w:gridCol w:w="328"/>
        <w:gridCol w:w="328"/>
        <w:gridCol w:w="470"/>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7125"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i/>
                <w:color w:val="000000"/>
                <w:sz w:val="24"/>
              </w:rPr>
            </w:pPr>
            <w:r>
              <w:rPr>
                <w:rFonts w:ascii="Times New Roman;serif" w:hAnsi="Times New Roman;serif"/>
                <w:b w:val="false"/>
                <w:i/>
                <w:color w:val="000000"/>
                <w:sz w:val="24"/>
              </w:rPr>
              <w:t>Joint Book-Running Managers</w:t>
            </w:r>
          </w:p>
        </w:tc>
      </w:tr>
      <w:tr>
        <w:trPr/>
        <w:tc>
          <w:tcPr>
            <w:tcW w:w="124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Jefferies</w:t>
            </w:r>
          </w:p>
        </w:tc>
        <w:tc>
          <w:tcPr>
            <w:tcW w:w="154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TD Cowen</w:t>
            </w:r>
          </w:p>
        </w:tc>
        <w:tc>
          <w:tcPr>
            <w:tcW w:w="320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Guggenheim Securities</w:t>
            </w:r>
          </w:p>
        </w:tc>
        <w:tc>
          <w:tcPr>
            <w:tcW w:w="112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Cantor</w:t>
            </w:r>
          </w:p>
        </w:tc>
      </w:tr>
      <w:tr>
        <w:trPr/>
        <w:tc>
          <w:tcPr>
            <w:tcW w:w="7125"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i/>
                <w:color w:val="000000"/>
                <w:sz w:val="22"/>
              </w:rPr>
            </w:pPr>
            <w:r>
              <w:rPr>
                <w:rFonts w:ascii="Times New Roman;serif" w:hAnsi="Times New Roman;serif"/>
                <w:b w:val="false"/>
                <w:i/>
                <w:color w:val="000000"/>
                <w:sz w:val="22"/>
              </w:rPr>
              <w:t>Book-Running Manager</w:t>
            </w:r>
          </w:p>
        </w:tc>
      </w:tr>
      <w:tr>
        <w:trPr/>
        <w:tc>
          <w:tcPr>
            <w:tcW w:w="7125"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LifeSci Capital</w:t>
            </w:r>
          </w:p>
        </w:tc>
      </w:tr>
    </w:tbl>
    <w:p>
      <w:pPr>
        <w:pStyle w:val="TextBody"/>
        <w:bidi w:val="0"/>
        <w:spacing w:before="0" w:after="0"/>
        <w:ind w:left="0" w:right="0" w:firstLine="720"/>
        <w:jc w:val="left"/>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Prospectus Supplement dated July 14, 2026.</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bookmarkStart w:id="1" w:name="ia1d75176c1cb4894a53c284c459922b4_755"/>
      <w:bookmarkEnd w:id="1"/>
      <w:r>
        <w:rPr>
          <w:rFonts w:ascii="Times New Roman;serif" w:hAnsi="Times New Roman;serif"/>
          <w:b/>
          <w:color w:val="000000"/>
          <w:sz w:val="24"/>
        </w:rPr>
        <w:t>TABLE OF CONTENTS</w:t>
      </w:r>
    </w:p>
    <w:p>
      <w:pPr>
        <w:pStyle w:val="TextBody"/>
        <w:bidi w:val="0"/>
        <w:spacing w:lineRule="auto" w:line="288" w:before="0" w:after="120"/>
        <w:jc w:val="right"/>
        <w:rPr>
          <w:rFonts w:ascii="Times New Roman;serif" w:hAnsi="Times New Roman;serif"/>
          <w:b/>
          <w:color w:val="000000"/>
          <w:sz w:val="20"/>
          <w:u w:val="single"/>
        </w:rPr>
      </w:pPr>
      <w:r>
        <w:rPr>
          <w:rFonts w:ascii="Times New Roman;serif" w:hAnsi="Times New Roman;serif"/>
          <w:b/>
          <w:color w:val="000000"/>
          <w:sz w:val="20"/>
          <w:u w:val="single"/>
        </w:rPr>
        <w:t>Page</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Prospectus Supplement</w:t>
      </w:r>
    </w:p>
    <w:tbl>
      <w:tblPr>
        <w:tblW w:w="7859" w:type="dxa"/>
        <w:jc w:val="left"/>
        <w:tblInd w:w="0" w:type="dxa"/>
        <w:tblLayout w:type="fixed"/>
        <w:tblCellMar>
          <w:top w:w="28" w:type="dxa"/>
          <w:left w:w="28" w:type="dxa"/>
          <w:bottom w:w="28" w:type="dxa"/>
          <w:right w:w="28" w:type="dxa"/>
        </w:tblCellMar>
      </w:tblPr>
      <w:tblGrid>
        <w:gridCol w:w="2655"/>
        <w:gridCol w:w="2335"/>
        <w:gridCol w:w="2344"/>
        <w:gridCol w:w="153"/>
        <w:gridCol w:w="153"/>
        <w:gridCol w:w="219"/>
      </w:tblGrid>
      <w:tr>
        <w:trPr/>
        <w:tc>
          <w:tcPr>
            <w:tcW w:w="265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1b8bc8d535240179e7912043813edf2">
              <w:r>
                <w:rPr>
                  <w:rStyle w:val="InternetLink"/>
                  <w:rFonts w:ascii="Times New Roman;serif" w:hAnsi="Times New Roman;serif"/>
                  <w:b w:val="false"/>
                  <w:strike w:val="false"/>
                  <w:dstrike w:val="false"/>
                  <w:color w:val="000000"/>
                  <w:sz w:val="20"/>
                  <w:u w:val="none"/>
                  <w:effect w:val="non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b8bc8d535240179e7912043813edf2">
              <w:r>
                <w:rPr>
                  <w:rStyle w:val="InternetLink"/>
                  <w:rFonts w:ascii="Times New Roman;serif" w:hAnsi="Times New Roman;serif"/>
                  <w:b w:val="false"/>
                  <w:strike w:val="false"/>
                  <w:dstrike w:val="false"/>
                  <w:color w:val="000000"/>
                  <w:sz w:val="20"/>
                  <w:u w:val="none"/>
                  <w:effect w:val="none"/>
                </w:rPr>
                <w:t>S-ii</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eaca6cbd595f4109a9184ae29b4eadd4">
              <w:r>
                <w:rPr>
                  <w:rStyle w:val="InternetLink"/>
                  <w:rFonts w:ascii="Times New Roman;serif" w:hAnsi="Times New Roman;serif"/>
                  <w:b w:val="false"/>
                  <w:strike w:val="false"/>
                  <w:dstrike w:val="false"/>
                  <w:color w:val="000000"/>
                  <w:sz w:val="20"/>
                  <w:u w:val="none"/>
                  <w:effect w:val="non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ca6cbd595f4109a9184ae29b4eadd4">
              <w:r>
                <w:rPr>
                  <w:rStyle w:val="InternetLink"/>
                  <w:rFonts w:ascii="Times New Roman;serif" w:hAnsi="Times New Roman;serif"/>
                  <w:b w:val="false"/>
                  <w:strike w:val="false"/>
                  <w:dstrike w:val="false"/>
                  <w:color w:val="000000"/>
                  <w:sz w:val="20"/>
                  <w:u w:val="none"/>
                  <w:effect w:val="none"/>
                </w:rPr>
                <w:t>S-1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a26f962dda7047a08316188018725ee5">
              <w:r>
                <w:rPr>
                  <w:rStyle w:val="InternetLink"/>
                  <w:rFonts w:ascii="Times New Roman;serif" w:hAnsi="Times New Roman;serif"/>
                  <w:b w:val="false"/>
                  <w:strike w:val="false"/>
                  <w:dstrike w:val="false"/>
                  <w:color w:val="000000"/>
                  <w:sz w:val="20"/>
                  <w:u w:val="none"/>
                  <w:effect w:val="none"/>
                </w:rPr>
                <w:t>THE COMPANY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6f962dda7047a08316188018725ee5">
              <w:r>
                <w:rPr>
                  <w:rStyle w:val="InternetLink"/>
                  <w:rFonts w:ascii="Times New Roman;serif" w:hAnsi="Times New Roman;serif"/>
                  <w:b w:val="false"/>
                  <w:strike w:val="false"/>
                  <w:dstrike w:val="false"/>
                  <w:color w:val="000000"/>
                  <w:sz w:val="20"/>
                  <w:u w:val="none"/>
                  <w:effect w:val="none"/>
                </w:rPr>
                <w:t>S-1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ad7e78c1283043e99fa8b990ec3d9f53">
              <w:r>
                <w:rPr>
                  <w:rStyle w:val="InternetLink"/>
                  <w:rFonts w:ascii="Times New Roman;serif" w:hAnsi="Times New Roman;serif"/>
                  <w:b w:val="false"/>
                  <w:strike w:val="false"/>
                  <w:dstrike w:val="false"/>
                  <w:color w:val="000000"/>
                  <w:sz w:val="20"/>
                  <w:u w:val="none"/>
                  <w:effect w:val="non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7e78c1283043e99fa8b990ec3d9f53">
              <w:r>
                <w:rPr>
                  <w:rStyle w:val="InternetLink"/>
                  <w:rFonts w:ascii="Times New Roman;serif" w:hAnsi="Times New Roman;serif"/>
                  <w:b w:val="false"/>
                  <w:strike w:val="false"/>
                  <w:dstrike w:val="false"/>
                  <w:color w:val="000000"/>
                  <w:sz w:val="20"/>
                  <w:u w:val="none"/>
                  <w:effect w:val="none"/>
                </w:rPr>
                <w:t>S-3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8815627b516c4cd2a34353acb9a33cf5">
              <w:r>
                <w:rPr>
                  <w:rStyle w:val="InternetLink"/>
                  <w:rFonts w:ascii="Times New Roman;serif" w:hAnsi="Times New Roman;serif"/>
                  <w:b w:val="false"/>
                  <w:strike w:val="false"/>
                  <w:dstrike w:val="false"/>
                  <w:color w:val="000000"/>
                  <w:sz w:val="20"/>
                  <w:u w:val="none"/>
                  <w:effect w:val="non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15627b516c4cd2a34353acb9a33cf5">
              <w:r>
                <w:rPr>
                  <w:rStyle w:val="InternetLink"/>
                  <w:rFonts w:ascii="Times New Roman;serif" w:hAnsi="Times New Roman;serif"/>
                  <w:b w:val="false"/>
                  <w:strike w:val="false"/>
                  <w:dstrike w:val="false"/>
                  <w:color w:val="000000"/>
                  <w:sz w:val="20"/>
                  <w:u w:val="none"/>
                  <w:effect w:val="none"/>
                </w:rPr>
                <w:t>S-5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6bf6418d6ca3483e98ab0cc1cd929ee4">
              <w:r>
                <w:rPr>
                  <w:rStyle w:val="InternetLink"/>
                  <w:rFonts w:ascii="Times New Roman;serif" w:hAnsi="Times New Roman;serif"/>
                  <w:b w:val="false"/>
                  <w:strike w:val="false"/>
                  <w:dstrike w:val="false"/>
                  <w:color w:val="000000"/>
                  <w:sz w:val="20"/>
                  <w:u w:val="none"/>
                  <w:effect w:val="non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f6418d6ca3483e98ab0cc1cd929ee4">
              <w:r>
                <w:rPr>
                  <w:rStyle w:val="InternetLink"/>
                  <w:rFonts w:ascii="Times New Roman;serif" w:hAnsi="Times New Roman;serif"/>
                  <w:b w:val="false"/>
                  <w:strike w:val="false"/>
                  <w:dstrike w:val="false"/>
                  <w:color w:val="000000"/>
                  <w:sz w:val="20"/>
                  <w:u w:val="none"/>
                  <w:effect w:val="none"/>
                </w:rPr>
                <w:t>S-7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5e2be79c7bdd4cedbe3fb2128f5fba2c">
              <w:r>
                <w:rPr>
                  <w:rStyle w:val="InternetLink"/>
                  <w:rFonts w:ascii="Times New Roman;serif" w:hAnsi="Times New Roman;serif"/>
                  <w:b w:val="false"/>
                  <w:strike w:val="false"/>
                  <w:dstrike w:val="false"/>
                  <w:color w:val="000000"/>
                  <w:sz w:val="20"/>
                  <w:u w:val="none"/>
                  <w:effect w:val="non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2be79c7bdd4cedbe3fb2128f5fba2c">
              <w:r>
                <w:rPr>
                  <w:rStyle w:val="InternetLink"/>
                  <w:rFonts w:ascii="Times New Roman;serif" w:hAnsi="Times New Roman;serif"/>
                  <w:b w:val="false"/>
                  <w:strike w:val="false"/>
                  <w:dstrike w:val="false"/>
                  <w:color w:val="000000"/>
                  <w:sz w:val="20"/>
                  <w:u w:val="none"/>
                  <w:effect w:val="none"/>
                </w:rPr>
                <w:t>S-8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8d1d75a4a644ffdabc7abb494097ef0">
              <w:r>
                <w:rPr>
                  <w:rStyle w:val="InternetLink"/>
                  <w:rFonts w:ascii="Times New Roman;serif" w:hAnsi="Times New Roman;serif"/>
                  <w:b w:val="false"/>
                  <w:strike w:val="false"/>
                  <w:dstrike w:val="false"/>
                  <w:color w:val="000000"/>
                  <w:sz w:val="20"/>
                  <w:u w:val="none"/>
                  <w:effect w:val="non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d1d75a4a644ffdabc7abb494097ef0">
              <w:r>
                <w:rPr>
                  <w:rStyle w:val="InternetLink"/>
                  <w:rFonts w:ascii="Times New Roman;serif" w:hAnsi="Times New Roman;serif"/>
                  <w:b w:val="false"/>
                  <w:strike w:val="false"/>
                  <w:dstrike w:val="false"/>
                  <w:color w:val="000000"/>
                  <w:sz w:val="20"/>
                  <w:u w:val="none"/>
                  <w:effect w:val="none"/>
                </w:rPr>
                <w:t>S-9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66f8b45905994b15af88cd47fa2901c5">
              <w:r>
                <w:rPr>
                  <w:rStyle w:val="InternetLink"/>
                  <w:rFonts w:ascii="Times New Roman;serif" w:hAnsi="Times New Roman;serif"/>
                  <w:b w:val="false"/>
                  <w:strike w:val="false"/>
                  <w:dstrike w:val="false"/>
                  <w:color w:val="000000"/>
                  <w:sz w:val="20"/>
                  <w:u w:val="none"/>
                  <w:effect w:val="none"/>
                </w:rPr>
                <w:t>DESCRIPTION OF PRE-FUNDED WARRANTS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f8b45905994b15af88cd47fa2901c5">
              <w:r>
                <w:rPr>
                  <w:rStyle w:val="InternetLink"/>
                  <w:rFonts w:ascii="Times New Roman;serif" w:hAnsi="Times New Roman;serif"/>
                  <w:b w:val="false"/>
                  <w:strike w:val="false"/>
                  <w:dstrike w:val="false"/>
                  <w:color w:val="000000"/>
                  <w:sz w:val="20"/>
                  <w:u w:val="none"/>
                  <w:effect w:val="none"/>
                </w:rPr>
                <w:t>S-11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85ca05d73c0f4b0abb3370600c689b9d">
              <w:r>
                <w:rPr>
                  <w:rStyle w:val="InternetLink"/>
                  <w:rFonts w:ascii="Times New Roman;serif" w:hAnsi="Times New Roman;serif"/>
                  <w:b w:val="false"/>
                  <w:strike w:val="false"/>
                  <w:dstrike w:val="false"/>
                  <w:color w:val="000000"/>
                  <w:sz w:val="20"/>
                  <w:u w:val="none"/>
                  <w:effect w:val="none"/>
                </w:rPr>
                <w:t>MATERIAL U.S. FEDERAL INCOME TAX CONSIDERATIONS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ca05d73c0f4b0abb3370600c689b9d">
              <w:r>
                <w:rPr>
                  <w:rStyle w:val="InternetLink"/>
                  <w:rFonts w:ascii="Times New Roman;serif" w:hAnsi="Times New Roman;serif"/>
                  <w:b w:val="false"/>
                  <w:strike w:val="false"/>
                  <w:dstrike w:val="false"/>
                  <w:color w:val="000000"/>
                  <w:sz w:val="20"/>
                  <w:u w:val="none"/>
                  <w:effect w:val="none"/>
                </w:rPr>
                <w:t>S-13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259b00b93f4349feab959e984658421f">
              <w:r>
                <w:rPr>
                  <w:rStyle w:val="InternetLink"/>
                  <w:rFonts w:ascii="Times New Roman;serif" w:hAnsi="Times New Roman;serif"/>
                  <w:b w:val="false"/>
                  <w:strike w:val="false"/>
                  <w:dstrike w:val="false"/>
                  <w:color w:val="000000"/>
                  <w:sz w:val="20"/>
                  <w:u w:val="none"/>
                  <w:effect w:val="none"/>
                </w:rPr>
                <w:t>CERTAIN CAYMAN ISLANDS TAX CONSIDERATIONS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9b00b93f4349feab959e984658421f">
              <w:r>
                <w:rPr>
                  <w:rStyle w:val="InternetLink"/>
                  <w:rFonts w:ascii="Times New Roman;serif" w:hAnsi="Times New Roman;serif"/>
                  <w:b w:val="false"/>
                  <w:strike w:val="false"/>
                  <w:dstrike w:val="false"/>
                  <w:color w:val="000000"/>
                  <w:sz w:val="20"/>
                  <w:u w:val="none"/>
                  <w:effect w:val="none"/>
                </w:rPr>
                <w:t>S-19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5942adf64ccb4435aa594ac4e8135206">
              <w:r>
                <w:rPr>
                  <w:rStyle w:val="InternetLink"/>
                  <w:rFonts w:ascii="Times New Roman;serif" w:hAnsi="Times New Roman;serif"/>
                  <w:b w:val="false"/>
                  <w:strike w:val="false"/>
                  <w:dstrike w:val="false"/>
                  <w:color w:val="000000"/>
                  <w:sz w:val="20"/>
                  <w:u w:val="none"/>
                  <w:effect w:val="non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42adf64ccb4435aa594ac4e8135206">
              <w:r>
                <w:rPr>
                  <w:rStyle w:val="InternetLink"/>
                  <w:rFonts w:ascii="Times New Roman;serif" w:hAnsi="Times New Roman;serif"/>
                  <w:b w:val="false"/>
                  <w:strike w:val="false"/>
                  <w:dstrike w:val="false"/>
                  <w:color w:val="000000"/>
                  <w:sz w:val="20"/>
                  <w:u w:val="none"/>
                  <w:effect w:val="none"/>
                </w:rPr>
                <w:t>S-20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bff2ca6fa9e742dc870574ebb048b32f">
              <w:r>
                <w:rPr>
                  <w:rStyle w:val="InternetLink"/>
                  <w:rFonts w:ascii="Times New Roman;serif" w:hAnsi="Times New Roman;serif"/>
                  <w:b w:val="false"/>
                  <w:strike w:val="false"/>
                  <w:dstrike w:val="false"/>
                  <w:color w:val="000000"/>
                  <w:sz w:val="20"/>
                  <w:u w:val="none"/>
                  <w:effect w:val="non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f2ca6fa9e742dc870574ebb048b32f">
              <w:r>
                <w:rPr>
                  <w:rStyle w:val="InternetLink"/>
                  <w:rFonts w:ascii="Times New Roman;serif" w:hAnsi="Times New Roman;serif"/>
                  <w:b w:val="false"/>
                  <w:strike w:val="false"/>
                  <w:dstrike w:val="false"/>
                  <w:color w:val="000000"/>
                  <w:sz w:val="20"/>
                  <w:u w:val="none"/>
                  <w:effect w:val="none"/>
                </w:rPr>
                <w:t>S-29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ff67ed37dad34da9b64a9707bfdba872">
              <w:r>
                <w:rPr>
                  <w:rStyle w:val="InternetLink"/>
                  <w:rFonts w:ascii="Times New Roman;serif" w:hAnsi="Times New Roman;serif"/>
                  <w:b w:val="false"/>
                  <w:strike w:val="false"/>
                  <w:dstrike w:val="false"/>
                  <w:color w:val="000000"/>
                  <w:sz w:val="20"/>
                  <w:u w:val="none"/>
                  <w:effect w:val="non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67ed37dad34da9b64a9707bfdba872">
              <w:r>
                <w:rPr>
                  <w:rStyle w:val="InternetLink"/>
                  <w:rFonts w:ascii="Times New Roman;serif" w:hAnsi="Times New Roman;serif"/>
                  <w:b w:val="false"/>
                  <w:strike w:val="false"/>
                  <w:dstrike w:val="false"/>
                  <w:color w:val="000000"/>
                  <w:sz w:val="20"/>
                  <w:u w:val="none"/>
                  <w:effect w:val="none"/>
                </w:rPr>
                <w:t>S-29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d486aac48e2e45e2b3390c4cb185e35a">
              <w:r>
                <w:rPr>
                  <w:rStyle w:val="InternetLink"/>
                  <w:rFonts w:ascii="Times New Roman;serif" w:hAnsi="Times New Roman;serif"/>
                  <w:b w:val="false"/>
                  <w:strike w:val="false"/>
                  <w:dstrike w:val="false"/>
                  <w:color w:val="000000"/>
                  <w:sz w:val="20"/>
                  <w:u w:val="none"/>
                  <w:effect w:val="none"/>
                </w:rPr>
                <w:t>WHERE YOU CAN FIND MORE INFORMATION; INCORPORATION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86aac48e2e45e2b3390c4cb185e35a">
              <w:r>
                <w:rPr>
                  <w:rStyle w:val="InternetLink"/>
                  <w:rFonts w:ascii="Times New Roman;serif" w:hAnsi="Times New Roman;serif"/>
                  <w:b w:val="false"/>
                  <w:strike w:val="false"/>
                  <w:dstrike w:val="false"/>
                  <w:color w:val="000000"/>
                  <w:sz w:val="20"/>
                  <w:u w:val="none"/>
                  <w:effect w:val="none"/>
                </w:rPr>
                <w:t>S-30</w:t>
              </w:r>
            </w:hyperlink>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Prospectus</w:t>
      </w:r>
    </w:p>
    <w:tbl>
      <w:tblPr>
        <w:tblW w:w="7751" w:type="dxa"/>
        <w:jc w:val="left"/>
        <w:tblInd w:w="0" w:type="dxa"/>
        <w:tblLayout w:type="fixed"/>
        <w:tblCellMar>
          <w:top w:w="28" w:type="dxa"/>
          <w:left w:w="28" w:type="dxa"/>
          <w:bottom w:w="28" w:type="dxa"/>
          <w:right w:w="28" w:type="dxa"/>
        </w:tblCellMar>
      </w:tblPr>
      <w:tblGrid>
        <w:gridCol w:w="2673"/>
        <w:gridCol w:w="2344"/>
        <w:gridCol w:w="2362"/>
        <w:gridCol w:w="109"/>
        <w:gridCol w:w="109"/>
        <w:gridCol w:w="154"/>
      </w:tblGrid>
      <w:tr>
        <w:trPr/>
        <w:tc>
          <w:tcPr>
            <w:tcW w:w="2673"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16aa29c1893d49e38b77a880bf594c14">
              <w:r>
                <w:rPr>
                  <w:rStyle w:val="InternetLink"/>
                  <w:rFonts w:ascii="Times New Roman;serif" w:hAnsi="Times New Roman;serif"/>
                  <w:b w:val="false"/>
                  <w:strike w:val="false"/>
                  <w:dstrike w:val="false"/>
                  <w:color w:val="000000"/>
                  <w:sz w:val="20"/>
                  <w:u w:val="none"/>
                  <w:effect w:val="none"/>
                </w:rPr>
                <w:t xml:space="preserve">ABOUT THIS PROSPECTUS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aa29c1893d49e38b77a880bf594c14">
              <w:r>
                <w:rPr>
                  <w:rStyle w:val="InternetLink"/>
                  <w:rFonts w:ascii="Times New Roman;serif" w:hAnsi="Times New Roman;serif"/>
                  <w:b w:val="false"/>
                  <w:strike w:val="false"/>
                  <w:dstrike w:val="false"/>
                  <w:color w:val="000000"/>
                  <w:sz w:val="20"/>
                  <w:u w:val="none"/>
                  <w:effect w:val="none"/>
                </w:rPr>
                <w:t>1</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c6c7a829fd2349cf902e4e8992b63e2f">
              <w:r>
                <w:rPr>
                  <w:rStyle w:val="InternetLink"/>
                  <w:rFonts w:ascii="Times New Roman;serif" w:hAnsi="Times New Roman;serif"/>
                  <w:b w:val="false"/>
                  <w:strike w:val="false"/>
                  <w:dstrike w:val="false"/>
                  <w:color w:val="000000"/>
                  <w:sz w:val="20"/>
                  <w:u w:val="none"/>
                  <w:effect w:val="none"/>
                </w:rPr>
                <w:t xml:space="preserve">CAUTIONARY STATEMENT CONCERNING FORWARD-LOOKING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c7a829fd2349cf902e4e8992b63e2f">
              <w:r>
                <w:rPr>
                  <w:rStyle w:val="InternetLink"/>
                  <w:rFonts w:ascii="Times New Roman;serif" w:hAnsi="Times New Roman;serif"/>
                  <w:b w:val="false"/>
                  <w:strike w:val="false"/>
                  <w:dstrike w:val="false"/>
                  <w:color w:val="000000"/>
                  <w:sz w:val="20"/>
                  <w:u w:val="none"/>
                  <w:effect w:val="none"/>
                </w:rPr>
                <w:t>2</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4d63a8559abf4f76b868e290b5bcfdf0">
              <w:r>
                <w:rPr>
                  <w:rStyle w:val="InternetLink"/>
                  <w:rFonts w:ascii="Times New Roman;serif" w:hAnsi="Times New Roman;serif"/>
                  <w:b w:val="false"/>
                  <w:strike w:val="false"/>
                  <w:dstrike w:val="false"/>
                  <w:color w:val="000000"/>
                  <w:sz w:val="20"/>
                  <w:u w:val="none"/>
                  <w:effect w:val="none"/>
                </w:rPr>
                <w:t xml:space="preserve">WHERE YOU CAN FIND MORE INFORMATION; INCORPORATION BY REFERENCE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63a8559abf4f76b868e290b5bcfdf0">
              <w:r>
                <w:rPr>
                  <w:rStyle w:val="InternetLink"/>
                  <w:rFonts w:ascii="Times New Roman;serif" w:hAnsi="Times New Roman;serif"/>
                  <w:b w:val="false"/>
                  <w:strike w:val="false"/>
                  <w:dstrike w:val="false"/>
                  <w:color w:val="000000"/>
                  <w:sz w:val="20"/>
                  <w:u w:val="none"/>
                  <w:effect w:val="none"/>
                </w:rPr>
                <w:t>3</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2ec873799e0a4c7a8048b6d7eb2914d1">
              <w:r>
                <w:rPr>
                  <w:rStyle w:val="InternetLink"/>
                  <w:rFonts w:ascii="Times New Roman;serif" w:hAnsi="Times New Roman;serif"/>
                  <w:b w:val="false"/>
                  <w:strike w:val="false"/>
                  <w:dstrike w:val="false"/>
                  <w:color w:val="000000"/>
                  <w:sz w:val="20"/>
                  <w:u w:val="none"/>
                  <w:effect w:val="non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c873799e0a4c7a8048b6d7eb2914d1">
              <w:r>
                <w:rPr>
                  <w:rStyle w:val="InternetLink"/>
                  <w:rFonts w:ascii="Times New Roman;serif" w:hAnsi="Times New Roman;serif"/>
                  <w:b w:val="false"/>
                  <w:strike w:val="false"/>
                  <w:dstrike w:val="false"/>
                  <w:color w:val="000000"/>
                  <w:sz w:val="20"/>
                  <w:u w:val="none"/>
                  <w:effect w:val="none"/>
                </w:rPr>
                <w:t>5</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e2fad8a1299846d996c541af4bc674a5">
              <w:r>
                <w:rPr>
                  <w:rStyle w:val="InternetLink"/>
                  <w:rFonts w:ascii="Times New Roman;serif" w:hAnsi="Times New Roman;serif"/>
                  <w:b w:val="false"/>
                  <w:strike w:val="false"/>
                  <w:dstrike w:val="false"/>
                  <w:color w:val="000000"/>
                  <w:sz w:val="20"/>
                  <w:u w:val="none"/>
                  <w:effect w:val="none"/>
                </w:rPr>
                <w:t xml:space="preserve">RISK FACTORS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fad8a1299846d996c541af4bc674a5">
              <w:r>
                <w:rPr>
                  <w:rStyle w:val="InternetLink"/>
                  <w:rFonts w:ascii="Times New Roman;serif" w:hAnsi="Times New Roman;serif"/>
                  <w:b w:val="false"/>
                  <w:strike w:val="false"/>
                  <w:dstrike w:val="false"/>
                  <w:color w:val="000000"/>
                  <w:sz w:val="20"/>
                  <w:u w:val="none"/>
                  <w:effect w:val="none"/>
                </w:rPr>
                <w:t>6</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8ffa98e08b0d486695959e96f9fa9edf">
              <w:r>
                <w:rPr>
                  <w:rStyle w:val="InternetLink"/>
                  <w:rFonts w:ascii="Times New Roman;serif" w:hAnsi="Times New Roman;serif"/>
                  <w:b w:val="false"/>
                  <w:strike w:val="false"/>
                  <w:dstrike w:val="false"/>
                  <w:color w:val="000000"/>
                  <w:sz w:val="20"/>
                  <w:u w:val="none"/>
                  <w:effect w:val="non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fa98e08b0d486695959e96f9fa9edf">
              <w:r>
                <w:rPr>
                  <w:rStyle w:val="InternetLink"/>
                  <w:rFonts w:ascii="Times New Roman;serif" w:hAnsi="Times New Roman;serif"/>
                  <w:b w:val="false"/>
                  <w:strike w:val="false"/>
                  <w:dstrike w:val="false"/>
                  <w:color w:val="000000"/>
                  <w:sz w:val="20"/>
                  <w:u w:val="none"/>
                  <w:effect w:val="none"/>
                </w:rPr>
                <w:t>7</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15de2864d19242cbb8d711a9bab4ffbe">
              <w:r>
                <w:rPr>
                  <w:rStyle w:val="InternetLink"/>
                  <w:rFonts w:ascii="Times New Roman;serif" w:hAnsi="Times New Roman;serif"/>
                  <w:b w:val="false"/>
                  <w:strike w:val="false"/>
                  <w:dstrike w:val="false"/>
                  <w:color w:val="000000"/>
                  <w:sz w:val="20"/>
                  <w:u w:val="none"/>
                  <w:effect w:val="none"/>
                </w:rPr>
                <w:t xml:space="preserve">DIVIDEND POLICY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de2864d19242cbb8d711a9bab4ffbe">
              <w:r>
                <w:rPr>
                  <w:rStyle w:val="InternetLink"/>
                  <w:rFonts w:ascii="Times New Roman;serif" w:hAnsi="Times New Roman;serif"/>
                  <w:b w:val="false"/>
                  <w:strike w:val="false"/>
                  <w:dstrike w:val="false"/>
                  <w:color w:val="000000"/>
                  <w:sz w:val="20"/>
                  <w:u w:val="none"/>
                  <w:effect w:val="none"/>
                </w:rPr>
                <w:t>8</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cbbf501e14d94a74a7c14ca25e81a780">
              <w:r>
                <w:rPr>
                  <w:rStyle w:val="InternetLink"/>
                  <w:rFonts w:ascii="Times New Roman;serif" w:hAnsi="Times New Roman;serif"/>
                  <w:b w:val="false"/>
                  <w:strike w:val="false"/>
                  <w:dstrike w:val="false"/>
                  <w:color w:val="000000"/>
                  <w:sz w:val="20"/>
                  <w:u w:val="none"/>
                  <w:effect w:val="none"/>
                </w:rPr>
                <w:t xml:space="preserve">DESCRIPTION OF SHARE CAPITAL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bf501e14d94a74a7c14ca25e81a780">
              <w:r>
                <w:rPr>
                  <w:rStyle w:val="InternetLink"/>
                  <w:rFonts w:ascii="Times New Roman;serif" w:hAnsi="Times New Roman;serif"/>
                  <w:b w:val="false"/>
                  <w:strike w:val="false"/>
                  <w:dstrike w:val="false"/>
                  <w:color w:val="000000"/>
                  <w:sz w:val="20"/>
                  <w:u w:val="none"/>
                  <w:effect w:val="none"/>
                </w:rPr>
                <w:t>9</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79afb46ca564460b9a8076a13c88894e">
              <w:r>
                <w:rPr>
                  <w:rStyle w:val="InternetLink"/>
                  <w:rFonts w:ascii="Times New Roman;serif" w:hAnsi="Times New Roman;serif"/>
                  <w:b w:val="false"/>
                  <w:strike w:val="false"/>
                  <w:dstrike w:val="false"/>
                  <w:color w:val="000000"/>
                  <w:sz w:val="20"/>
                  <w:u w:val="none"/>
                  <w:effect w:val="non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afb46ca564460b9a8076a13c88894e">
              <w:r>
                <w:rPr>
                  <w:rStyle w:val="InternetLink"/>
                  <w:rFonts w:ascii="Times New Roman;serif" w:hAnsi="Times New Roman;serif"/>
                  <w:b w:val="false"/>
                  <w:strike w:val="false"/>
                  <w:dstrike w:val="false"/>
                  <w:color w:val="000000"/>
                  <w:sz w:val="20"/>
                  <w:u w:val="none"/>
                  <w:effect w:val="none"/>
                </w:rPr>
                <w:t>17</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fb3ca8b1cf454a9998e89fcb93f5bdfb">
              <w:r>
                <w:rPr>
                  <w:rStyle w:val="InternetLink"/>
                  <w:rFonts w:ascii="Times New Roman;serif" w:hAnsi="Times New Roman;serif"/>
                  <w:b w:val="false"/>
                  <w:strike w:val="false"/>
                  <w:dstrike w:val="false"/>
                  <w:color w:val="000000"/>
                  <w:sz w:val="20"/>
                  <w:u w:val="none"/>
                  <w:effect w:val="non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3ca8b1cf454a9998e89fcb93f5bdfb">
              <w:r>
                <w:rPr>
                  <w:rStyle w:val="InternetLink"/>
                  <w:rFonts w:ascii="Times New Roman;serif" w:hAnsi="Times New Roman;serif"/>
                  <w:b w:val="false"/>
                  <w:strike w:val="false"/>
                  <w:dstrike w:val="false"/>
                  <w:color w:val="000000"/>
                  <w:sz w:val="20"/>
                  <w:u w:val="none"/>
                  <w:effect w:val="none"/>
                </w:rPr>
                <w:t>24</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2491d2c0c9e845f288ecc6fb3b4cdd00">
              <w:r>
                <w:rPr>
                  <w:rStyle w:val="InternetLink"/>
                  <w:rFonts w:ascii="Times New Roman;serif" w:hAnsi="Times New Roman;serif"/>
                  <w:b w:val="false"/>
                  <w:strike w:val="false"/>
                  <w:dstrike w:val="false"/>
                  <w:color w:val="000000"/>
                  <w:sz w:val="20"/>
                  <w:u w:val="none"/>
                  <w:effect w:val="non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91d2c0c9e845f288ecc6fb3b4cdd00">
              <w:r>
                <w:rPr>
                  <w:rStyle w:val="InternetLink"/>
                  <w:rFonts w:ascii="Times New Roman;serif" w:hAnsi="Times New Roman;serif"/>
                  <w:b w:val="false"/>
                  <w:strike w:val="false"/>
                  <w:dstrike w:val="false"/>
                  <w:color w:val="000000"/>
                  <w:sz w:val="20"/>
                  <w:u w:val="none"/>
                  <w:effect w:val="none"/>
                </w:rPr>
                <w:t>25</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21a9b412b2c74fc4b839cf5025967a99">
              <w:r>
                <w:rPr>
                  <w:rStyle w:val="InternetLink"/>
                  <w:rFonts w:ascii="Times New Roman;serif" w:hAnsi="Times New Roman;serif"/>
                  <w:b w:val="false"/>
                  <w:strike w:val="false"/>
                  <w:dstrike w:val="false"/>
                  <w:color w:val="000000"/>
                  <w:sz w:val="20"/>
                  <w:u w:val="none"/>
                  <w:effect w:val="none"/>
                </w:rPr>
                <w:t xml:space="preserve">PLAN OF DISTRIBUTION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a9b412b2c74fc4b839cf5025967a99">
              <w:r>
                <w:rPr>
                  <w:rStyle w:val="InternetLink"/>
                  <w:rFonts w:ascii="Times New Roman;serif" w:hAnsi="Times New Roman;serif"/>
                  <w:b w:val="false"/>
                  <w:strike w:val="false"/>
                  <w:dstrike w:val="false"/>
                  <w:color w:val="000000"/>
                  <w:sz w:val="20"/>
                  <w:u w:val="none"/>
                  <w:effect w:val="none"/>
                </w:rPr>
                <w:t>26</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2f1cf742f99844c094117576b807cb8a">
              <w:r>
                <w:rPr>
                  <w:rStyle w:val="InternetLink"/>
                  <w:rFonts w:ascii="Times New Roman;serif" w:hAnsi="Times New Roman;serif"/>
                  <w:b w:val="false"/>
                  <w:strike w:val="false"/>
                  <w:dstrike w:val="false"/>
                  <w:color w:val="000000"/>
                  <w:sz w:val="20"/>
                  <w:u w:val="none"/>
                  <w:effect w:val="none"/>
                </w:rPr>
                <w:t xml:space="preserve">LEGAL MATTERS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1cf742f99844c094117576b807cb8a">
              <w:r>
                <w:rPr>
                  <w:rStyle w:val="InternetLink"/>
                  <w:rFonts w:ascii="Times New Roman;serif" w:hAnsi="Times New Roman;serif"/>
                  <w:b w:val="false"/>
                  <w:strike w:val="false"/>
                  <w:dstrike w:val="false"/>
                  <w:color w:val="000000"/>
                  <w:sz w:val="20"/>
                  <w:u w:val="none"/>
                  <w:effect w:val="none"/>
                </w:rPr>
                <w:t>28</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hyperlink w:anchor="i7b66c7097720449cb57c9d2283613454">
              <w:r>
                <w:rPr>
                  <w:rStyle w:val="InternetLink"/>
                  <w:rFonts w:ascii="Times New Roman;serif" w:hAnsi="Times New Roman;serif"/>
                  <w:b w:val="false"/>
                  <w:strike w:val="false"/>
                  <w:dstrike w:val="false"/>
                  <w:color w:val="000000"/>
                  <w:sz w:val="20"/>
                  <w:u w:val="none"/>
                  <w:effect w:val="none"/>
                </w:rPr>
                <w:t xml:space="preserve">EXPERTS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66c7097720449cb57c9d2283613454">
              <w:r>
                <w:rPr>
                  <w:rStyle w:val="InternetLink"/>
                  <w:rFonts w:ascii="Times New Roman;serif" w:hAnsi="Times New Roman;serif"/>
                  <w:b w:val="false"/>
                  <w:strike w:val="false"/>
                  <w:dstrike w:val="false"/>
                  <w:color w:val="000000"/>
                  <w:sz w:val="20"/>
                  <w:u w:val="none"/>
                  <w:effect w:val="none"/>
                </w:rPr>
                <w:t>28</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Neither we nor any of the underwriters have authorized anyone to provide information different from that contained in this prospectus supplement. When you make a decision about whether to invest in our securities, you should not rely upon any information other than the information in this prospectus supplement. Neither the delivery of this prospectus supplement nor the sale of our securities means that information contained in this prospectus supplement is correct after the date of this prospectus supplement. This prospectus supplement is not an offer to sell or solicitation of an offer to buy our securities in any circumstances under which the offer or solicitation is unlawful.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4"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2" w:name="id1b8bc8d535240179e7912043813edf2"/>
      <w:bookmarkStart w:id="3" w:name="i9374e893ff6e48199513bc0b88ce32ce_3760"/>
      <w:bookmarkEnd w:id="2"/>
      <w:bookmarkEnd w:id="3"/>
      <w:r>
        <w:rPr>
          <w:rFonts w:ascii="Times New Roman;serif" w:hAnsi="Times New Roman;serif"/>
          <w:b/>
          <w:color w:val="000000"/>
          <w:sz w:val="20"/>
        </w:rPr>
        <w:t>ABOUT THIS PROSPECTUS SUPPLEMENT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dated July 10, 2026, are part of a registration statement on Form S-3 that we filed with the Securities and Exchange Commission (the “SEC”), utilizing a “shelf” registration process. This prospectus supplement and the accompanying prospectus relate to the offer by us of our ordinary shares and pre-funded warrants to certain investors. We provide information to you about this offering of our ordinary shares and pre-funded warrants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incorporation by reference.”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information contained in or incorporated by reference into this prospectus supplement and the accompanying prospectus or any free writing prospectus prepared by or on behalf of us or to which we have referred you. We have not, and the underwriters have not, authorized anyone to provide you with information that is different. We are offering to sell and seeking offers to buy our ordinary shares and pre-funded warrants only in jurisdictions where offers and sales are permitted. The information contained in this prospectus supplement, the accompanying prospectus, the documents and information incorporated by reference in this prospectus supplement and the accompanying prospectus, and any free writing prospectus that we have authorized for use in connection with this offering are accurate only as of their respective dates, regardless of the time of delivery of this prospectus supplement or of any sale of our ordinary shares or pre-funded warrants.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When we refer to “Crescent,” “we,” “our,” “us” and the “Company” in this prospectus supplement, we mean Crescent Biopharma, Inc. and our subsidiaries, unless otherwise specified. When we refer to “you,” we mean the holders of the applicable series of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use our trademarks and service marks in this prospectus supplement, as well as trademarks, tradenames and service marks that are the property of other organizations. Solely for convenience, trademarks and tradenames referred to in this prospectus supplement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00" w:after="200"/>
        <w:jc w:val="center"/>
        <w:rPr>
          <w:rFonts w:ascii="Times New Roman;serif" w:hAnsi="Times New Roman;serif"/>
          <w:b/>
          <w:color w:val="000000"/>
          <w:sz w:val="20"/>
          <w:bdr w:val="single" w:sz="2" w:space="12" w:color="000000"/>
        </w:rPr>
      </w:pPr>
      <w:bookmarkStart w:id="4" w:name="ieaca6cbd595f4109a9184ae29b4eadd4"/>
      <w:bookmarkStart w:id="5" w:name="i609b0c0771cb4633b7c807e8bb90ddc7_9626"/>
      <w:bookmarkEnd w:id="4"/>
      <w:bookmarkEnd w:id="5"/>
      <w:r>
        <w:rPr>
          <w:rFonts w:ascii="Times New Roman;serif" w:hAnsi="Times New Roman;serif"/>
          <w:b/>
          <w:color w:val="000000"/>
          <w:sz w:val="20"/>
          <w:bdr w:val="single" w:sz="2" w:space="12" w:color="000000"/>
        </w:rPr>
        <w:t>PROSPECTUS SUPPLEMENT SUMMARY</w:t>
      </w:r>
    </w:p>
    <w:p>
      <w:pPr>
        <w:pStyle w:val="TextBody"/>
        <w:bidi w:val="0"/>
        <w:spacing w:lineRule="auto" w:line="288" w:before="0" w:after="200"/>
        <w:jc w:val="left"/>
        <w:rPr>
          <w:rFonts w:ascii="Times New Roman;serif" w:hAnsi="Times New Roman;serif"/>
          <w:b w:val="false"/>
          <w:i/>
          <w:color w:val="000000"/>
          <w:sz w:val="20"/>
          <w:bdr w:val="single" w:sz="2" w:space="12" w:color="000000"/>
        </w:rPr>
      </w:pPr>
      <w:r>
        <w:rPr>
          <w:rFonts w:ascii="Times New Roman;serif" w:hAnsi="Times New Roman;serif"/>
          <w:b w:val="false"/>
          <w:i/>
          <w:color w:val="000000"/>
          <w:sz w:val="20"/>
          <w:bdr w:val="single" w:sz="2" w:space="12" w:color="000000"/>
        </w:rPr>
        <w:t>The items in the following summary are described in more detail later in, or incorporated by reference into, this prospectus supplement and in the accompanying prospectus. This summary provides an overview of selected information and does not contain all the information you should consider before investing in our ordinary shares and pre-funded warrants. Therefore, you should read the entire prospectus supplement, the accompanying prospectus and any free writing prospectus that we have authorized for use in connection with this offering carefully, including the “Risk Factors” section, and other documents or information included or incorporated by reference in this prospectus supplement and the accompanying prospectus before making any investment decision.</w:t>
      </w:r>
    </w:p>
    <w:p>
      <w:pPr>
        <w:pStyle w:val="TextBody"/>
        <w:bidi w:val="0"/>
        <w:spacing w:lineRule="auto" w:line="240" w:before="200" w:after="200"/>
        <w:jc w:val="center"/>
        <w:rPr>
          <w:rFonts w:ascii="Times New Roman;serif" w:hAnsi="Times New Roman;serif"/>
          <w:b/>
          <w:color w:val="000000"/>
          <w:sz w:val="20"/>
          <w:bdr w:val="single" w:sz="2" w:space="12" w:color="000000"/>
        </w:rPr>
      </w:pPr>
      <w:bookmarkStart w:id="6" w:name="ia26f962dda7047a08316188018725ee5"/>
      <w:bookmarkStart w:id="7" w:name="i609b0c0771cb4633b7c807e8bb90ddc7_9627"/>
      <w:bookmarkEnd w:id="6"/>
      <w:bookmarkEnd w:id="7"/>
      <w:r>
        <w:rPr>
          <w:rFonts w:ascii="Times New Roman;serif" w:hAnsi="Times New Roman;serif"/>
          <w:b/>
          <w:color w:val="000000"/>
          <w:sz w:val="20"/>
          <w:bdr w:val="single" w:sz="2" w:space="12" w:color="000000"/>
        </w:rPr>
        <w:t>THE COMPANY</w:t>
      </w:r>
    </w:p>
    <w:p>
      <w:pPr>
        <w:pStyle w:val="TextBody"/>
        <w:bidi w:val="0"/>
        <w:spacing w:lineRule="auto" w:line="240" w:before="0" w:after="200"/>
        <w:jc w:val="left"/>
        <w:rPr>
          <w:rFonts w:ascii="Times New Roman;serif" w:hAnsi="Times New Roman;serif"/>
          <w:b/>
          <w:color w:val="000000"/>
          <w:sz w:val="20"/>
          <w:bdr w:val="single" w:sz="2" w:space="12" w:color="000000"/>
        </w:rPr>
      </w:pPr>
      <w:bookmarkStart w:id="8" w:name="i851fdc03e7b64e29909688ba57851575"/>
      <w:bookmarkEnd w:id="8"/>
      <w:r>
        <w:rPr>
          <w:rFonts w:ascii="Times New Roman;serif" w:hAnsi="Times New Roman;serif"/>
          <w:b/>
          <w:color w:val="000000"/>
          <w:sz w:val="20"/>
          <w:bdr w:val="single" w:sz="2" w:space="12" w:color="000000"/>
        </w:rPr>
        <w:t>Overview</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our lead product candidate, CR-001, which we refer to as a PD-1 x VEGF bispecific antibody because it is designed to bind both the PD-1 immune checkpoint and Vascular Endothelial Growth Factor,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We initiated a global Phase 1/2 trial of CR-001 in February 2026, and a Phase 1/2 trial of CR-003 (also referred to as SKB105), an integrin beta-6 (“ITGB6”)-directed ADC, as a monotherapy in the first quarter of 2026 in China through our partner, Sichuan Kelun-Biotech Biopharmaceutical Co., Ltd. (“Kelun”). In addition, we anticipate initiation of a monotherapy clinical trial of CR-002, a PD-L1-directed ADC with a topoisomerase payload, as well as the first ADC combination trial with CR-001 and a Kelun ADC in 2026.</w:t>
      </w:r>
    </w:p>
    <w:p>
      <w:pPr>
        <w:pStyle w:val="TextBody"/>
        <w:bidi w:val="0"/>
        <w:spacing w:lineRule="auto" w:line="288" w:before="0" w:after="200"/>
        <w:jc w:val="left"/>
        <w:rPr>
          <w:rFonts w:ascii="Times New Roman;serif" w:hAnsi="Times New Roman;serif"/>
          <w:b/>
          <w:color w:val="000000"/>
          <w:sz w:val="20"/>
          <w:bdr w:val="single" w:sz="2" w:space="12" w:color="000000"/>
        </w:rPr>
      </w:pPr>
      <w:bookmarkStart w:id="9" w:name="ib1e1418923e3470abc7cd53e3382094a"/>
      <w:bookmarkEnd w:id="9"/>
      <w:r>
        <w:rPr>
          <w:rFonts w:ascii="Times New Roman;serif" w:hAnsi="Times New Roman;serif"/>
          <w:b/>
          <w:color w:val="000000"/>
          <w:sz w:val="20"/>
          <w:bdr w:val="single" w:sz="2" w:space="12" w:color="000000"/>
        </w:rPr>
        <w:t>Preliminary Financial Update</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As of June 30, 2026, we estimate that our cash and cash equivalents were approximately $171.6 million.</w:t>
      </w:r>
    </w:p>
    <w:p>
      <w:pPr>
        <w:pStyle w:val="TextBody"/>
        <w:bidi w:val="0"/>
        <w:spacing w:lineRule="auto" w:line="268" w:before="0" w:after="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 xml:space="preserve">The cash and cash equivalents information above is based on preliminary unaudited information and management estimates for the quarter ended June 30, 2026, is not a comprehensive statement of our financial results as of and for the quarter ended June 30, 2026, and is subject to completion of our financial closing procedures. Our actual cash and cash equivalents as of June 30, 2026 will be included in our Quarterly Report on Form 10-Q for the quarter ended June 30, 2026 and may differ from this amount after we complete our comprehensive accounting procedures for the quarter ended June 30, 2026. Our financial statements for the quarter ended June 30, 2026 will not be available until after this offering is completed, and consequently will not be available to you prior to investing in this offering. See the sections entitled “Risk Factors” and “Special Note Regarding Forward-Looking Statements” in this prospectus supplement and the documents incorporated by reference herein, for a discussion of certain factors that could result in differences between these preliminary unaudited estimates and the actual results.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The preliminary financial data included in this prospectus supplement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w:t>
      </w:r>
    </w:p>
    <w:p>
      <w:pPr>
        <w:pStyle w:val="TextBody"/>
        <w:bidi w:val="0"/>
        <w:spacing w:lineRule="auto" w:line="288" w:before="0" w:after="200"/>
        <w:jc w:val="left"/>
        <w:rPr>
          <w:rFonts w:ascii="Times New Roman;serif" w:hAnsi="Times New Roman;serif"/>
          <w:b/>
          <w:color w:val="000000"/>
          <w:sz w:val="20"/>
          <w:bdr w:val="single" w:sz="2" w:space="12" w:color="000000"/>
        </w:rPr>
      </w:pPr>
      <w:bookmarkStart w:id="10" w:name="i368b482df68642c183fc36ff9aadf85a"/>
      <w:bookmarkEnd w:id="10"/>
      <w:r>
        <w:rPr>
          <w:rFonts w:ascii="Times New Roman;serif" w:hAnsi="Times New Roman;serif"/>
          <w:b/>
          <w:color w:val="000000"/>
          <w:sz w:val="20"/>
          <w:bdr w:val="single" w:sz="2" w:space="12" w:color="000000"/>
        </w:rPr>
        <w:t xml:space="preserve">Corporate Information </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 xml:space="preserve">We were initially incorporated under the laws of the State of Delaware in 2003. Our company, formerly known as GlycoMimetics, Inc., is a biotechnology company that is the result of a reverse recapitalization transaction with a private company named Crescent Biopharma, Inc. (“Pre-Merger Crescent”). Prior to the reverse recapitalization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transaction, Pre-Merger Crescent was established and incorporated under the laws of the State of Delaware on September 19, 2024. Pre-Merger Crescent was founded to research and develop cancer therapy candidates.</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On June 16, 2025, in connection with the reverse recapitalization transaction with Pre-Merger Crescent, we changed our jurisdiction of incorporation from the State of Delaware to the Cayman Islands pursuant to a plan of conversion.</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Our principal executive offices are located at 300 Fifth Avenue, Waltham, MA 02451, and our telephone number is (617) 430-5595.</w:t>
      </w:r>
    </w:p>
    <w:p>
      <w:pPr>
        <w:pStyle w:val="TextBody"/>
        <w:bidi w:val="0"/>
        <w:spacing w:lineRule="auto" w:line="240" w:before="0" w:after="200"/>
        <w:jc w:val="left"/>
        <w:rPr>
          <w:rFonts w:ascii="Times New Roman;serif" w:hAnsi="Times New Roman;serif"/>
          <w:b/>
          <w:color w:val="000000"/>
          <w:sz w:val="20"/>
          <w:bdr w:val="single" w:sz="2" w:space="12" w:color="000000"/>
        </w:rPr>
      </w:pPr>
      <w:bookmarkStart w:id="11" w:name="i3a21eb310eaa40d2a46181e89d2e1424"/>
      <w:bookmarkEnd w:id="11"/>
      <w:r>
        <w:rPr>
          <w:rFonts w:ascii="Times New Roman;serif" w:hAnsi="Times New Roman;serif"/>
          <w:b/>
          <w:color w:val="000000"/>
          <w:sz w:val="20"/>
          <w:bdr w:val="single" w:sz="2" w:space="12" w:color="000000"/>
        </w:rPr>
        <w:t>Implications of Being a Smaller Reporting Company</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We are a “smaller reporting company,” as defined in the Exchange Act. We will continue to be a smaller reporting company as long as (i) the market value of our ordinary shares held by non-affiliates is less than $250.0 million or (ii) our annual revenue is less than $100.0 million during the most recently completed fiscal year and the market value of our ordinary shares held by non-affiliates is less than $700.0 million. As a smaller reporting company, we may choose to present only the two most recent fiscal years of audited financial statements in our Annual Report on Form 10-K, and smaller reporting companies have reduced disclosure obligations regarding executive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bdr w:val="single" w:sz="2" w:space="12" w:color="000000"/>
        </w:rPr>
      </w:pPr>
      <w:bookmarkStart w:id="12" w:name="iad7e78c1283043e99fa8b990ec3d9f53"/>
      <w:bookmarkStart w:id="13" w:name="i609b0c0771cb4633b7c807e8bb90ddc7_9628"/>
      <w:bookmarkEnd w:id="12"/>
      <w:bookmarkEnd w:id="13"/>
      <w:r>
        <w:rPr>
          <w:rFonts w:ascii="Times New Roman;serif" w:hAnsi="Times New Roman;serif"/>
          <w:b/>
          <w:color w:val="000000"/>
          <w:sz w:val="20"/>
          <w:bdr w:val="single" w:sz="2" w:space="12" w:color="000000"/>
        </w:rPr>
        <w:t>THE OFFERING</w:t>
      </w:r>
    </w:p>
    <w:tbl>
      <w:tblPr>
        <w:tblW w:w="10205" w:type="dxa"/>
        <w:jc w:val="left"/>
        <w:tblInd w:w="0" w:type="dxa"/>
        <w:tblLayout w:type="fixed"/>
        <w:tblCellMar>
          <w:top w:w="28" w:type="dxa"/>
          <w:left w:w="28" w:type="dxa"/>
          <w:bottom w:w="28" w:type="dxa"/>
          <w:right w:w="28" w:type="dxa"/>
        </w:tblCellMar>
      </w:tblPr>
      <w:tblGrid>
        <w:gridCol w:w="779"/>
        <w:gridCol w:w="457"/>
        <w:gridCol w:w="458"/>
        <w:gridCol w:w="2650"/>
        <w:gridCol w:w="2415"/>
        <w:gridCol w:w="3446"/>
      </w:tblGrid>
      <w:tr>
        <w:trPr/>
        <w:tc>
          <w:tcPr>
            <w:tcW w:w="77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Ordinary shares offered by us</w:t>
            </w:r>
          </w:p>
        </w:tc>
        <w:tc>
          <w:tcPr>
            <w:tcW w:w="851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8,094,793 ordinary shares.</w:t>
            </w:r>
          </w:p>
        </w:tc>
      </w:tr>
      <w:tr>
        <w:trPr/>
        <w:tc>
          <w:tcPr>
            <w:tcW w:w="16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Pre-funded warrants offered by us</w:t>
            </w:r>
          </w:p>
        </w:tc>
        <w:tc>
          <w:tcPr>
            <w:tcW w:w="851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are also offering, in lieu of our ordinary shares to investors that so choose, pre-funded warrants to purchase 525,897 ordinary shares. The purchase price of each pre-funded warrant equals the price per share at which the ordinary shares are being sold to the public in this offering, minus $0.001, which is the exercise price of each pre-funded warrant. Each pre-funded warrant will be exercisable at any time after the date of issuance until the date the pre-funded warrant is exercised in full, subject to an ownership limitation. See “Description of Pre-Funded Warrants.” This prospectus supplement also relates to the offering of our ordinary shares issuable upon exercise of such pre-funded warrants.</w:t>
            </w:r>
          </w:p>
        </w:tc>
      </w:tr>
      <w:tr>
        <w:trPr/>
        <w:tc>
          <w:tcPr>
            <w:tcW w:w="16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Option to purchase additional ordinary shares</w:t>
            </w:r>
          </w:p>
        </w:tc>
        <w:tc>
          <w:tcPr>
            <w:tcW w:w="851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granted the underwriters an option exercisable for a period of 30 days after the date of this prospectus supplement to purchase up to 1,293,103 additional ordinary shares at the public offering price, less underwriting discounts and commissions.</w:t>
            </w:r>
          </w:p>
        </w:tc>
      </w:tr>
      <w:tr>
        <w:trPr/>
        <w:tc>
          <w:tcPr>
            <w:tcW w:w="16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Ordinary shares to be outstanding immediately after this offering</w:t>
            </w:r>
          </w:p>
        </w:tc>
        <w:tc>
          <w:tcPr>
            <w:tcW w:w="851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35,666,728 ordinary shares (or 36,959,831 ordinary shares if the underwriters exercise in full their option to purchase additional shares), assuming no exercise of any pre-funded warrants offered and sold by us in this offering.</w:t>
            </w:r>
          </w:p>
        </w:tc>
      </w:tr>
      <w:tr>
        <w:trPr/>
        <w:tc>
          <w:tcPr>
            <w:tcW w:w="16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511"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this offering, together with our existing cash and cash equivalents to fund the clinical development of CR-001, CR-002 and CR-003, the advancement of chemistry, manufacturing and controls activities, continued research and development for our preclinical programs, and for working capital and other general corporate purposes. See the section titled “Use of Proceeds.”</w:t>
            </w:r>
          </w:p>
        </w:tc>
      </w:tr>
      <w:tr>
        <w:trPr/>
        <w:tc>
          <w:tcPr>
            <w:tcW w:w="16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51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“Risk Factors” section of this prospectus supplement and in the documents incorporated by reference in this prospectus supplement for a discussion of factors to consider before deciding to invest in our securities. </w:t>
            </w:r>
          </w:p>
        </w:tc>
      </w:tr>
      <w:tr>
        <w:trPr/>
        <w:tc>
          <w:tcPr>
            <w:tcW w:w="169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Nasdaq Capital Market trading symbol</w:t>
            </w:r>
          </w:p>
        </w:tc>
        <w:tc>
          <w:tcPr>
            <w:tcW w:w="8511"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CBIO”</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no established public trading market for the pre-funded warrants, and we do not expect a market to develop. We do not intend to list the pre-funded warrants on the Nasdaq Capital Market or any other national securities exchange or nationally recognized trading system. Without an active trading market, the liquidity of the pre-funded warrants will be limited. See “Description of Pre-Funded Warrants.”</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The number of our ordinary shares to be outstanding immediately after this offering is based on 27,571,935 ordinary shares outstanding as of March 31, 2026. The number of shares outstanding as of March 31, 2026 excludes: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2,890,000 ordinary shares issuable upon conversion of our Series A non-voting convertible preferred shares outstanding as of March 31,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2,898,556 ordinary shares issuable upon exercise of our pre-funded warrants outstanding as of March 31, 2026, with an exercise price of $0.001 per share (including the 131,434 ordinary shares issuable upon exercise of the pre-funded warrants issued pursuant to that certain Securities Purchase Agreement for a private placement, dated December 4, 2025 (the “Private Placement Pre-Funded Warrants”) and 1,636,706 ordinary shares issuable upon exercise of the pre-funded warrants issued to Fairmount Funds Management LLC (the “Fairmount Pre-Funded Warrants”));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437,297 ordinary shares issuable upon exercise of warrants outstanding as of March 31, 2026, including 402,731 warrants issued on December 31, 2025 with an exercise price of $11.86 and 34,566 warrants issued on January 31, 2026 with an exercise price of $13.50, under the ADC Discovery and Option Agreement (as amended and restated on April 28, 2025, the “ADC Paragon Option Agreement”) with Parascent Holding LLC;</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1,885,194 ordinary shares issuable upon the exercise of options outstanding as of March 31, 2026 under our 2025 Stock Incentive Plan (the “2025 Plan”), at a weighted-average exercise price of $13.18 per share;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278,332 ordinary shares issuable upon the vesting of restricted share units outstanding as of March 31, 2026 under our 2025 Plan;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3,683,519 ordinary shares issuable upon the exercise of options outstanding as of March 31, 2026 under our 2024 Equity Incentive Plan (the “2024 Plan”), at a weighted-average exercise price of $7.90 per share;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328,789 ordinary shares issuable upon the vesting of restricted share units outstanding as of March 31, 2026 under our 2024 Plan;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732,776 ordinary shares issuable upon the exercise of options outstanding as of March 31, 2026 under our 2025 Employment Inducement Incentive Award Plan (the “2025 Inducement Plan”), at a weighted-average exercise price of $12.39 per share;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1,831,145 ordinary shares reserved for future issuance under the 2025 Plan as of March 31, 2026, as well as any automatic increase in the number of ordinary shares reserved for future issuance under our 2025 Plan;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517,224 ordinary shares reserved for future issuance under the 2025 Inducement Plan as of March 31, 2026;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528,950 ordinary shares reserved for future issuance under our 2025 Employee Stock Purchase Plan (the “ESPP”) as of March 31, 2026, as well as any automatic increase in the number of ordinary shares reserved for future issuance under the ESPP.</w:t>
      </w:r>
    </w:p>
    <w:p>
      <w:pPr>
        <w:pStyle w:val="TextBody"/>
        <w:bidi w:val="0"/>
        <w:spacing w:lineRule="auto" w:line="288" w:before="0" w:after="200"/>
        <w:jc w:val="left"/>
        <w:rPr>
          <w:rFonts w:ascii="Times New Roman;serif" w:hAnsi="Times New Roman;serif"/>
          <w:b w:val="false"/>
          <w:color w:val="000000"/>
          <w:sz w:val="20"/>
          <w:bdr w:val="single" w:sz="2" w:space="12" w:color="000000"/>
        </w:rPr>
      </w:pPr>
      <w:r>
        <w:rPr>
          <w:rFonts w:ascii="Times New Roman;serif" w:hAnsi="Times New Roman;serif"/>
          <w:b w:val="false"/>
          <w:color w:val="000000"/>
          <w:sz w:val="20"/>
          <w:bdr w:val="single" w:sz="2" w:space="12" w:color="000000"/>
        </w:rPr>
        <w:t>Except as otherwise indicated, all information in this prospectus supplement assumes no exercise of outstanding options or warrants, no conversion of outstanding Series A non-voting convertible preferred shares, no vesting of restricted share units or restricted ordinary shares after March 31, 2026, no exercise of the pre-funded warrants offered herein and no exercise by the underwriters of their option to purchase up to 1,293,103 additional ordinary shares.</w:t>
      </w:r>
    </w:p>
    <w:p>
      <w:pPr>
        <w:pStyle w:val="TextBody"/>
        <w:bidi w:val="0"/>
        <w:spacing w:lineRule="auto" w:line="288" w:before="0" w:after="200"/>
        <w:jc w:val="left"/>
        <w:rPr>
          <w:bdr w:val="single" w:sz="2" w:space="12" w:color="000000"/>
        </w:rPr>
      </w:pPr>
      <w:r>
        <w:rPr>
          <w:rFonts w:ascii="Times New Roman;serif" w:hAnsi="Times New Roman;serif"/>
          <w:b w:val="false"/>
          <w:color w:val="000000"/>
          <w:sz w:val="20"/>
          <w:bdr w:val="single" w:sz="2" w:space="12" w:color="000000"/>
        </w:rPr>
        <w:t>In addition, the number of our ordinary shares to be outstanding immediately after this offering as shown above does not include the $200 million of ordinary shares that remain available for sale under that certain Open Market Sale Agreement</w:t>
      </w:r>
      <w:r>
        <w:rPr>
          <w:rFonts w:ascii="Times New Roman;serif" w:hAnsi="Times New Roman;serif"/>
          <w:b w:val="false"/>
          <w:color w:val="000000"/>
          <w:sz w:val="13"/>
          <w:bdr w:val="single" w:sz="2" w:space="12" w:color="000000"/>
        </w:rPr>
        <w:t>SM</w:t>
      </w:r>
      <w:r>
        <w:rPr>
          <w:color w:val="000000"/>
          <w:bdr w:val="single" w:sz="2" w:space="12" w:color="000000"/>
        </w:rPr>
        <w:t xml:space="preserve"> </w:t>
      </w:r>
      <w:r>
        <w:rPr>
          <w:rFonts w:ascii="Times New Roman;serif" w:hAnsi="Times New Roman;serif"/>
          <w:b w:val="false"/>
          <w:color w:val="000000"/>
          <w:sz w:val="20"/>
          <w:bdr w:val="single" w:sz="2" w:space="12" w:color="000000"/>
        </w:rPr>
        <w:t>(the “Sales Agreement”), with Jefferies LLC, dated July 1, 2026. We have agreed not to make any sales under the Sales Agreement until the earlier of (i) the exercise in full by the underwriters of their option to purchase additional ordinary shares and (ii) 30 calendar days after the date of this prospectus supplement. For more information, see the section titled “Underwriting.”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14" w:name="i8815627b516c4cd2a34353acb9a33cf5"/>
      <w:bookmarkStart w:id="15" w:name="i338faae8c6e94680b8d02d229aae4d94_91227"/>
      <w:bookmarkEnd w:id="14"/>
      <w:bookmarkEnd w:id="15"/>
      <w:r>
        <w:rPr>
          <w:rFonts w:ascii="Times New Roman;serif" w:hAnsi="Times New Roman;serif"/>
          <w:b/>
          <w:color w:val="000000"/>
          <w:sz w:val="20"/>
        </w:rPr>
        <w:t>RISK FACTORS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consider carefully the risks described below and discussed under the section captioned “Risk Factors” contained in our Annual Report on Form 10-K for the year ended December 31, 2025 and our Quarterly Report on Form 10-Q for the quarter ended March 31, 2026 as updated by our subsequent filings under the Securities Exchange Act of 1934, as amended (the Exchange Act), which are incorporated by reference in this prospectus supplement and the accompanying prospectus in their entirety, together with other information in this prospectus supplement, the accompanying prospectus and the information and documents incorporated by reference in this prospectus supplement and the accompanying prospectus, and any free writing prospectus that we have authorized for use in connection with this offering before you make a decision to invest in our ordinary shares and pre-funded warrants. If any of the following events actually occur, our business, operating results, prospects or financial condition could be materially and adversely affected. This could cause the trading price of our ordinary shares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lineRule="auto" w:line="240" w:before="0" w:after="200"/>
        <w:jc w:val="left"/>
        <w:rPr>
          <w:rFonts w:ascii="Times New Roman;serif" w:hAnsi="Times New Roman;serif"/>
          <w:b/>
          <w:color w:val="000000"/>
          <w:sz w:val="20"/>
        </w:rPr>
      </w:pPr>
      <w:bookmarkStart w:id="16" w:name="i5ce043b59f6445139a65ed2e25f21552"/>
      <w:bookmarkEnd w:id="16"/>
      <w:r>
        <w:rPr>
          <w:rFonts w:ascii="Times New Roman;serif" w:hAnsi="Times New Roman;serif"/>
          <w:b/>
          <w:color w:val="000000"/>
          <w:sz w:val="20"/>
        </w:rPr>
        <w:t>Risks Relating to this Offering</w:t>
      </w:r>
    </w:p>
    <w:p>
      <w:pPr>
        <w:pStyle w:val="TextBody"/>
        <w:bidi w:val="0"/>
        <w:spacing w:lineRule="auto" w:line="240" w:before="0" w:after="200"/>
        <w:jc w:val="left"/>
        <w:rPr>
          <w:rFonts w:ascii="Times New Roman;serif" w:hAnsi="Times New Roman;serif"/>
          <w:b/>
          <w:i/>
          <w:color w:val="000000"/>
          <w:sz w:val="20"/>
        </w:rPr>
      </w:pPr>
      <w:bookmarkStart w:id="17" w:name="ia3170a009436459eaeee91f7d5826ac3"/>
      <w:bookmarkEnd w:id="17"/>
      <w:r>
        <w:rPr>
          <w:rFonts w:ascii="Times New Roman;serif" w:hAnsi="Times New Roman;serif"/>
          <w:b/>
          <w:i/>
          <w:color w:val="000000"/>
          <w:sz w:val="20"/>
        </w:rPr>
        <w:t>If you purchase ordinary shares or pre-funded warrants sold in this offering, you will experience immediate and substantial dilution in the net tangible book value of your shares. In addition, we may issue additional equity or convertible debt securities in the future, which may result in additional dilution to investors.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Purchasers of ordinary shares (or pre-funded warrants in lieu thereof) in this offering will experience immediate dilution of approximately $6.10 per ordinary share, based on an assumed public offering price of $14.50 per ordinary share and assuming no sale of any pre-funded warrants in this offering. In the past, we issued options to acquire ordinary shares at prices significantly below the public offering price. To the extent these outstanding options, or warrants, including those issued in this offering, are ultimately exercised, investors purchasing ordinary shares (or pre-funded warrants in lieu thereof) in this offering will sustain further dilution. For a further description of the dilution that you will experience immediately after this offering, see the section titled “Dilution.” In addition, to the extent we need to raise additional capital in the future and we issue additional ordinary shares or securities convertible or exchangeable for our ordinary shares, our then existing shareholders may experience dilution and the new securities may have rights senior to those of our ordinary shares offered in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Sales Agreement, we may issue and sell from time to time through Jefferies LLC, our ordinary shares, in an aggregate amount not to exceed $200 million. As of the date of this prospectus supplement, $200 million of ordinary shares remains available for sale under the Sales Agreement. To the extent that we sell additional ordinary shares pursuant to the Sales Agreement subsequent to this offering, investors purchasing securities in this offering could experience further dilution.</w:t>
      </w:r>
    </w:p>
    <w:p>
      <w:pPr>
        <w:pStyle w:val="TextBody"/>
        <w:bidi w:val="0"/>
        <w:spacing w:lineRule="auto" w:line="240" w:before="0" w:after="200"/>
        <w:jc w:val="left"/>
        <w:rPr>
          <w:rFonts w:ascii="Times New Roman;serif" w:hAnsi="Times New Roman;serif"/>
          <w:b/>
          <w:i/>
          <w:color w:val="000000"/>
          <w:sz w:val="20"/>
        </w:rPr>
      </w:pPr>
      <w:bookmarkStart w:id="18" w:name="ib74026f7926e4219953c8d6707869518"/>
      <w:bookmarkEnd w:id="18"/>
      <w:r>
        <w:rPr>
          <w:rFonts w:ascii="Times New Roman;serif" w:hAnsi="Times New Roman;serif"/>
          <w:b/>
          <w:i/>
          <w:color w:val="000000"/>
          <w:sz w:val="20"/>
        </w:rPr>
        <w:t>We may allocate the net proceeds from this offering in ways that you and other shareholders may not approve.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short-and intermediate term, interest-bearing obligations, investment-grade instruments, certificates of deposit or direct or guaranteed obligations of the U.S. government. These investments may not yield a favorable return to our shareholders. If we do not invest or apply the net proceeds from this offering in ways that enhance shareholder value, we may fail to achieve expected results, which could cause our stock price to decline.</w:t>
      </w:r>
    </w:p>
    <w:p>
      <w:pPr>
        <w:pStyle w:val="TextBody"/>
        <w:bidi w:val="0"/>
        <w:spacing w:lineRule="auto" w:line="240" w:before="0" w:after="200"/>
        <w:jc w:val="left"/>
        <w:rPr>
          <w:rFonts w:ascii="Times New Roman;serif" w:hAnsi="Times New Roman;serif"/>
          <w:b/>
          <w:i/>
          <w:color w:val="000000"/>
          <w:sz w:val="20"/>
        </w:rPr>
      </w:pPr>
      <w:bookmarkStart w:id="19" w:name="i95bda8b34abc4eb0af4cb306d00b5450"/>
      <w:bookmarkEnd w:id="19"/>
      <w:r>
        <w:rPr>
          <w:rFonts w:ascii="Times New Roman;serif" w:hAnsi="Times New Roman;serif"/>
          <w:b/>
          <w:i/>
          <w:color w:val="000000"/>
          <w:sz w:val="20"/>
        </w:rPr>
        <w:t>There is no public market for the pre-funded warrants being offered in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existing trading market for the pre-funded warrants and there can be no assurance that a liquid market will develop or be maintained for the pre-funded warrants, or that you will be able to sell any of the pre-funded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warrants at a particular time (if at all). In addition, we do not intend to apply for listing of the pre-funded warrants on The Nasdaq Capital Market or any other securities exchange or nationally recognized trading system. Without an active trading market, the liquidity of the pre-funded warrants will be limited. See the section titled “Description of Pre-Funded Warrants.”</w:t>
      </w:r>
    </w:p>
    <w:p>
      <w:pPr>
        <w:pStyle w:val="TextBody"/>
        <w:bidi w:val="0"/>
        <w:spacing w:lineRule="auto" w:line="240" w:before="0" w:after="200"/>
        <w:jc w:val="left"/>
        <w:rPr>
          <w:rFonts w:ascii="Times New Roman;serif" w:hAnsi="Times New Roman;serif"/>
          <w:b/>
          <w:i/>
          <w:color w:val="000000"/>
          <w:sz w:val="20"/>
        </w:rPr>
      </w:pPr>
      <w:bookmarkStart w:id="20" w:name="i1e28f731190c478bae3089fe0afc6f2f"/>
      <w:bookmarkEnd w:id="20"/>
      <w:r>
        <w:rPr>
          <w:rFonts w:ascii="Times New Roman;serif" w:hAnsi="Times New Roman;serif"/>
          <w:b/>
          <w:i/>
          <w:color w:val="000000"/>
          <w:sz w:val="20"/>
        </w:rPr>
        <w:t>We will not receive a significant amount of additional funds upon the exercise of the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Each pre-funded warrant will be exercisable for $0.001 per ordinary share underlying such warrant, which may be paid by way of a cashless exercise, in which the holder would receive upon such exercise the net number of ordinary shares determined according to the formula set forth in the pre-funded warrant. Accordingly, we will not receive a significant amount of additional funds upon the exercise of the pre-funded warrants. </w:t>
      </w:r>
    </w:p>
    <w:p>
      <w:pPr>
        <w:pStyle w:val="TextBody"/>
        <w:bidi w:val="0"/>
        <w:spacing w:lineRule="auto" w:line="240" w:before="0" w:after="200"/>
        <w:jc w:val="left"/>
        <w:rPr>
          <w:rFonts w:ascii="Times New Roman;serif" w:hAnsi="Times New Roman;serif"/>
          <w:b/>
          <w:i/>
          <w:color w:val="000000"/>
          <w:sz w:val="20"/>
        </w:rPr>
      </w:pPr>
      <w:bookmarkStart w:id="21" w:name="ica9cb2df144d46f38000a0669a45fa39"/>
      <w:bookmarkEnd w:id="21"/>
      <w:r>
        <w:rPr>
          <w:rFonts w:ascii="Times New Roman;serif" w:hAnsi="Times New Roman;serif"/>
          <w:b/>
          <w:i/>
          <w:color w:val="000000"/>
          <w:sz w:val="20"/>
        </w:rPr>
        <w:t>Holders of the pre-funded warrants will have no rights as shareholders until such holders exercise their pre-funded warrants and acquire ordinary shares.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Until holders of the pre-funded warrants exercise their pre-funded warrants and acquire ordinary shares, such holders will have no rights with respect to the ordinary shares underlying such pre-funded warrants. Upon exercise of the pre-funded warrants, the holders will be entitled to exercise the rights of a holder of ordinary shares, provided, however, that if a holder exercises its pre-funded warrants after the record date for a meeting of shareholders, such holder will not be entitled to vote at such meeting with respect to the ordinary shares issued upon such exercise.</w:t>
      </w:r>
    </w:p>
    <w:p>
      <w:pPr>
        <w:pStyle w:val="TextBody"/>
        <w:bidi w:val="0"/>
        <w:spacing w:lineRule="auto" w:line="240" w:before="0" w:after="200"/>
        <w:jc w:val="left"/>
        <w:rPr>
          <w:rFonts w:ascii="Times New Roman;serif" w:hAnsi="Times New Roman;serif"/>
          <w:b/>
          <w:i/>
          <w:color w:val="000000"/>
          <w:sz w:val="20"/>
        </w:rPr>
      </w:pPr>
      <w:bookmarkStart w:id="22" w:name="i902ab60de06a4bcc8f063848b71619b7"/>
      <w:bookmarkEnd w:id="22"/>
      <w:r>
        <w:rPr>
          <w:rFonts w:ascii="Times New Roman;serif" w:hAnsi="Times New Roman;serif"/>
          <w:b/>
          <w:i/>
          <w:color w:val="000000"/>
          <w:sz w:val="20"/>
        </w:rPr>
        <w:t>If we do not maintain a current and effective registration statement relating to the ordinary shares issuable upon exercise of the pre-funded warrants, holders will only be able to exercise such pre-funded warrants on a “cashless basis.”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we do not maintain a current and effective registration statement relating to the ordinary shares issuable upon exercise of the pre-funded warrants at the time that holders wish to exercise such pre-funded warrants, they will only be able to exercise them on a “cashless basis” provided that an exemption from registration is available. As a result, the number of ordinary shares that holders will receive upon exercise of the pre-funded warrants will be fewer than it would have been had such holder exercised his or her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ordinary shares issuable upon exercise of the pre-funded warrants is available.</w:t>
      </w:r>
    </w:p>
    <w:p>
      <w:pPr>
        <w:pStyle w:val="TextBody"/>
        <w:bidi w:val="0"/>
        <w:spacing w:lineRule="auto" w:line="240" w:before="0" w:after="200"/>
        <w:jc w:val="left"/>
        <w:rPr>
          <w:rFonts w:ascii="Times New Roman;serif" w:hAnsi="Times New Roman;serif"/>
          <w:b/>
          <w:i/>
          <w:color w:val="000000"/>
          <w:sz w:val="20"/>
        </w:rPr>
      </w:pPr>
      <w:bookmarkStart w:id="23" w:name="i17d2c20acbac4fa2a246a7d057d344dd"/>
      <w:bookmarkEnd w:id="23"/>
      <w:r>
        <w:rPr>
          <w:rFonts w:ascii="Times New Roman;serif" w:hAnsi="Times New Roman;serif"/>
          <w:b/>
          <w:i/>
          <w:color w:val="000000"/>
          <w:sz w:val="20"/>
        </w:rPr>
        <w:t>Significant holders or beneficial owners of our ordinary shares may not be permitted to exercise the pre-funded warrants that they hold.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holder of the pre-funded warrants will not be entitled to exercise any portion of any pre-funded warrant that, upon giving effect to such exercise, would cause the aggregate number of ordinary shares beneficially owned by such holder (together with its affiliates) to exceed 19.99% or such other specified percentage of the number of ordinary shares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As a result, you may not be able to exercise your pre-funded warrants for ordinary shares at a time when it would be financially beneficial for you to do so. In such a circumstance, you could seek to sell your pre-funded warrants to realize value, but you may be unable to do so in the absence of an established trading market.</w:t>
      </w:r>
    </w:p>
    <w:p>
      <w:pPr>
        <w:pStyle w:val="TextBody"/>
        <w:bidi w:val="0"/>
        <w:spacing w:before="20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40" w:before="200" w:after="200"/>
        <w:jc w:val="center"/>
        <w:rPr>
          <w:rFonts w:ascii="Times New Roman;serif" w:hAnsi="Times New Roman;serif"/>
          <w:b/>
          <w:color w:val="000000"/>
          <w:sz w:val="20"/>
        </w:rPr>
      </w:pPr>
      <w:bookmarkStart w:id="24" w:name="i6bf6418d6ca3483e98ab0cc1cd929ee4"/>
      <w:bookmarkStart w:id="25" w:name="i338faae8c6e94680b8d02d229aae4d94_91229"/>
      <w:bookmarkEnd w:id="24"/>
      <w:bookmarkEnd w:id="25"/>
      <w:r>
        <w:rPr>
          <w:rFonts w:ascii="Times New Roman;serif" w:hAnsi="Times New Roman;serif"/>
          <w:b/>
          <w:color w:val="000000"/>
          <w:sz w:val="20"/>
        </w:rPr>
        <w:t>CAUTIONARY NOTE REGARDING 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27A of the Securities Act of 1933, as amended (the “Securities Act”), and Section 21E of the Exchange Act.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statements other than statements of historical facts contained in this prospectus supplement, the accompanying prospectus and the documents incorporated by reference herein and therein are forward-looking statements, including statements regarding our future results of operations and financial position, business strategy, the length of time that we believe our existing cash resources will fund our operations, the use of proceeds from this offering, our market size, our competition,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as well as global events, including military conflicts and geopolitical tensions on our operations, and the receipt and timing of potential regulatory designations, approvals and commercialization of product candidates, are 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and therein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prospectus and the documents incorporated by reference herein and therein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which we discuss in greater detail in the documents incorporated by reference herein, including under the heading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supplement, the accompanying prospectus or the documents incorporated by reference herein and therein,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26" w:name="i5e2be79c7bdd4cedbe3fb2128f5fba2c"/>
      <w:bookmarkStart w:id="27" w:name="i338faae8c6e94680b8d02d229aae4d94_91230"/>
      <w:bookmarkEnd w:id="26"/>
      <w:bookmarkEnd w:id="27"/>
      <w:r>
        <w:rPr>
          <w:rFonts w:ascii="Times New Roman;serif" w:hAnsi="Times New Roman;serif"/>
          <w:b/>
          <w:color w:val="000000"/>
          <w:sz w:val="20"/>
        </w:rPr>
        <w:t>USE OF PROCEEDS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to us from our issuance and sale of ordinary shares and pre-funded warrants in this offering will be approximately $115.9 million, after deducting the underwriting discounts and commissions and estimated offering expenses payable by us. If the underwriters exercise their option to purchase additional ordinary shares in full, we estimate that our net proceeds will be approximately $133.5 million, after deducting the underwriting discounts and commissions and estimated offering expenses payable by us.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will only receive nominal additional proceeds, if any, from any exercise of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together with our existing cash and cash equivalents, to fund the clinical development of CR-001, CR-002 and CR-003, the advancement of chemistry, manufacturing and controls activities, continued research and development for our preclinical programs, and for working capital and other general corporate purposes.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estimate that our current cash and cash equivalents, prior to the receipt of proceeds from this offering, will fund operations into 2028. Based on our planned use of the net proceeds of this offering and our existing cash and cash equivalents, we estimate that such funds will be sufficient to enable us to fund our projected operating expenses, working capital and capital expenditure needs into the second half of 2028. We have based this estimate on assumptions that may prove to be incorrect, and we could use our available capital resources sooner than we currently expect.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expected use of the net proceeds from this offering and our existing cash and cash equivalents represents our intentions based upon our current plans and business conditions, which could change in the future as our plans and business conditions evolve. We may also use a portion of the net proceeds or our existing cash and cash equivalents to in-license, acquire, or invest in additional businesses, technologies, products or assets, although currently we have no specific agreements, commitments or understandings in this regard. We cannot predict with certainty all of the particular uses of capital or the amounts that we will actually spend on the uses set forth above. Predicting the cost necessary to develop product candidates can be difficult and we anticipate that we will need additional funds to complete the development of our product candidates. The amounts and timing of our actual expenditures and the extent of clinical development may vary significantly depending on numerous factors, including the progress of our development efforts, the status of and results from preclinical studies and clinical trials, as well as any unforeseen cash needs. As a result, our management will retain broad discretion over the allocation of the net proceeds from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Pending our use of the net proceeds from this offering, we intend to invest the net proceeds in a variety of capital preservation investments, including short-term and intermediate-term, investment-grade, interest-bearing instruments and U.S. government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28" w:name="id8d1d75a4a644ffdabc7abb494097ef0"/>
      <w:bookmarkStart w:id="29" w:name="i338faae8c6e94680b8d02d229aae4d94_91231"/>
      <w:bookmarkEnd w:id="28"/>
      <w:bookmarkEnd w:id="29"/>
      <w:r>
        <w:rPr>
          <w:rFonts w:ascii="Times New Roman;serif" w:hAnsi="Times New Roman;serif"/>
          <w:b/>
          <w:color w:val="000000"/>
          <w:sz w:val="20"/>
        </w:rPr>
        <w:t>DILUTION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you invest in our securities in this offering, your interest will be diluted to the extent of the difference between the public offering price per ordinary share or pre-funded warrants and the as adjusted net tangible book value per ordinary share after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a historical net tangible book value of $183.8 million, or $6.67 per ordinary share, based on 27,571,935 ordinary shares outstanding. Our net tangible book value per share represents the amount of our total tangible assets reduced by the amount of our total liabilities, divided by the total number of ordinary shares outstanding as of March 31,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issuance and sale in this offering by us of 8,094,793 ordinary shares and 525,897 pre-funded warrants at a public offering price of $14.50 per share and $14.499 per pre-funded warrant and after deducting underwriting discounts and commissions and estimated offering expenses payable by us, our as adjusted net tangible book value as of March 31, 2026 would have been $299.7 million, or $8.40 per share. This represents an immediate increase of net tangible book value of $1.73 per share to our existing shareholders and an immediate dilution of $6.10 per share to new investors participating in this offering. The following table illustrates this per share dilution:</w:t>
      </w:r>
    </w:p>
    <w:tbl>
      <w:tblPr>
        <w:tblW w:w="7677" w:type="dxa"/>
        <w:jc w:val="left"/>
        <w:tblInd w:w="0" w:type="dxa"/>
        <w:tblLayout w:type="fixed"/>
        <w:tblCellMar>
          <w:top w:w="28" w:type="dxa"/>
          <w:left w:w="28" w:type="dxa"/>
          <w:bottom w:w="28" w:type="dxa"/>
          <w:right w:w="28" w:type="dxa"/>
        </w:tblCellMar>
      </w:tblPr>
      <w:tblGrid>
        <w:gridCol w:w="2160"/>
        <w:gridCol w:w="1902"/>
        <w:gridCol w:w="1908"/>
        <w:gridCol w:w="211"/>
        <w:gridCol w:w="511"/>
        <w:gridCol w:w="109"/>
        <w:gridCol w:w="211"/>
        <w:gridCol w:w="511"/>
        <w:gridCol w:w="154"/>
      </w:tblGrid>
      <w:tr>
        <w:trPr/>
        <w:tc>
          <w:tcPr>
            <w:tcW w:w="216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Public offering price per share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14.50</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March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this offering</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Dilution per share to new investors in this offering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6.10</w:t>
            </w:r>
          </w:p>
        </w:tc>
      </w:tr>
    </w:tbl>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dilution information discussed above assumes no exercise of the pre-funded warrants sold in this offering and is illustrative only. Investors who receive our ordinary shares upon the exercise of the pre-funded warrants offered hereby may experience additional dilution depending on our net tangible book value at the time of exercise.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the underwriters exercise their option to purchase additional ordinary shares in full, the as adjusted net tangible book value per share after this offering would be $8.59, the increase in net tangible book value per share would be $1.92 and the dilution to new investors would be $5.91 per share, in each case based on a public offering price of $14.50 per share and after deducting the underwriting discounts and commissions and estimated offering expenses payable by us.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number of our ordinary shares to be outstanding immediately after this offering is based on 27,571,935 ordinary shares outstanding as of March 31, 2026. The number of shares outstanding as of March 31, 2026 excludes:</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2,890,000 ordinary shares issuable upon conversion of our Series A non-voting convertible preferred shares outstanding as of March 31, 2026;</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2,898,556 ordinary shares issuable upon exercise of our pre-funded warrants outstanding as of March 31, 2026, with an exercise price of $0.001 per share (including the 131,434 ordinary shares issuable upon exercise of the Private Placement Pre-Funded Warrants and 1,636,706 ordinary shares issuable upon exercise of the Fairmount Pre-Funded Warrants);</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437,297 ordinary shares issuable upon exercise of warrants outstanding as of March 31, 2026, including 402,731 warrants issued on December 31, 2025 with an exercise price of $11.86 and 34,566 warrants issued on January 31, 2026 with an exercise price of $13.50, under the ADC Paragon Option Agreement with Parascent Holding LLC;</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1,885,194 ordinary shares issuable upon the exercise of options outstanding as of March 31, 2026 under our 2025 Plan, at a weighted-average exercise price of $13.18 per share;</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278,332 ordinary shares issuable upon the vesting of restricted share units outstanding as of March 31, 2026 under our 2025 Plan;</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3,683,519 ordinary shares issuable upon the exercise of options outstanding as of March 31, 2026 under our 2024 Plan, at a weighted-average exercise price of $7.90 per share;</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328,789 ordinary shares issuable upon the vesting of restricted share units outstanding as of March 31, 2026 under our 2024 Plan;</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732,776 ordinary shares issuable upon the exercise of options outstanding as of March 31, 2026 under our 2025 Inducement Plan, at a weighted-average exercise price of $12.39 per share;</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1,831,145 ordinary shares reserved for future issuance under the 2025 Plan as of March 31, 2026, as well as any automatic increase in the number of ordinary shares reserved for future issuance under our 2025 Plan;</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517,224 ordinary shares reserved for future issuance under the 2025 Inducement Plan as of March 31, 2026; and</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528,950 ordinary shares reserved for future issuance under our ESPP as of March 31, 2026, as well as any automatic increase in the number of ordinary shares reserved for future issuance under the ESPP.</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the extent that any options or warrants are exercised, Series A non-voting convertible preferred shares convert, any restricted share units or restricted ordinary shares vest, any new awards are issued under our equity incentive plans, or we otherwise issue additional ordinary shares or securities convertible into ordinary shares in the future, there will be further dilution to new investors. In addition, the number of our ordinary shares to be outstanding immediately after this offering as shown above does not include the $200 million of ordinary shares that remain available for sale under the Sales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30" w:name="i66f8b45905994b15af88cd47fa2901c5"/>
      <w:bookmarkStart w:id="31" w:name="i338faae8c6e94680b8d02d229aae4d94_91224"/>
      <w:bookmarkEnd w:id="30"/>
      <w:bookmarkEnd w:id="31"/>
      <w:r>
        <w:rPr>
          <w:rFonts w:ascii="Times New Roman;serif" w:hAnsi="Times New Roman;serif"/>
          <w:b/>
          <w:color w:val="000000"/>
          <w:sz w:val="20"/>
        </w:rPr>
        <w:t>DESCRIPTION OF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brief summary of certain terms and conditions of the pre-funded warrants. The following description is subject to and qualified in its entirety by the form of pre-funded warrant. </w:t>
      </w:r>
    </w:p>
    <w:p>
      <w:pPr>
        <w:pStyle w:val="TextBody"/>
        <w:bidi w:val="0"/>
        <w:spacing w:lineRule="auto" w:line="240" w:before="0" w:after="200"/>
        <w:jc w:val="left"/>
        <w:rPr>
          <w:rFonts w:ascii="Times New Roman;serif" w:hAnsi="Times New Roman;serif"/>
          <w:b/>
          <w:color w:val="000000"/>
          <w:sz w:val="20"/>
        </w:rPr>
      </w:pPr>
      <w:bookmarkStart w:id="32" w:name="i2c4efa5a544a41e5a45393a2a3e0fdd8"/>
      <w:bookmarkEnd w:id="32"/>
      <w:r>
        <w:rPr>
          <w:rFonts w:ascii="Times New Roman;serif" w:hAnsi="Times New Roman;serif"/>
          <w:b/>
          <w:color w:val="000000"/>
          <w:sz w:val="20"/>
        </w:rPr>
        <w:t xml:space="preserve">Form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be issued as individual warrant agreements to the purchasers in certificated form only. The form of pre-funded warrant will be filed as an exhibit to a Current Report on Form 8-K that we will file with the SEC. </w:t>
      </w:r>
    </w:p>
    <w:p>
      <w:pPr>
        <w:pStyle w:val="TextBody"/>
        <w:bidi w:val="0"/>
        <w:spacing w:lineRule="auto" w:line="240" w:before="0" w:after="200"/>
        <w:jc w:val="left"/>
        <w:rPr>
          <w:rFonts w:ascii="Times New Roman;serif" w:hAnsi="Times New Roman;serif"/>
          <w:b/>
          <w:color w:val="000000"/>
          <w:sz w:val="20"/>
        </w:rPr>
      </w:pPr>
      <w:bookmarkStart w:id="33" w:name="i8f9cc0dafb2c46e19fa4f0a8abf2b77c"/>
      <w:bookmarkEnd w:id="33"/>
      <w:r>
        <w:rPr>
          <w:rFonts w:ascii="Times New Roman;serif" w:hAnsi="Times New Roman;serif"/>
          <w:b/>
          <w:color w:val="000000"/>
          <w:sz w:val="20"/>
        </w:rPr>
        <w:t xml:space="preserve">Term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not expire until they are fully exercised. </w:t>
      </w:r>
    </w:p>
    <w:p>
      <w:pPr>
        <w:pStyle w:val="TextBody"/>
        <w:bidi w:val="0"/>
        <w:spacing w:lineRule="auto" w:line="240" w:before="0" w:after="200"/>
        <w:jc w:val="left"/>
        <w:rPr>
          <w:rFonts w:ascii="Times New Roman;serif" w:hAnsi="Times New Roman;serif"/>
          <w:b/>
          <w:color w:val="000000"/>
          <w:sz w:val="20"/>
        </w:rPr>
      </w:pPr>
      <w:bookmarkStart w:id="34" w:name="if5f1bba5203340849250f6a945854310"/>
      <w:bookmarkEnd w:id="34"/>
      <w:r>
        <w:rPr>
          <w:rFonts w:ascii="Times New Roman;serif" w:hAnsi="Times New Roman;serif"/>
          <w:b/>
          <w:color w:val="000000"/>
          <w:sz w:val="20"/>
        </w:rPr>
        <w:t xml:space="preserve">Exercisability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pre-funded warrants will be exercisable at any time until they are fully exercised. The exercise price of each pre-funded warrant will be $0.001. The pre-funded warrants will be exercisable, at the option of each holder, in whole or in part, by delivering to us a duly executed exercise notice and payment of the exercise price. No fractional ordinary shares will be issued in connection with the exercise of a pre-funded warrant. In lieu of fractional shares, we will pay the holder an amount in cash equal to the fractional amount multiplied by the fair market value of our ordinary shares on the exercise date. The holder of the pre-funded warrants may also satisfy its obligation to pay the exercise price through a “cashless exercise,” in which the holder receives the net value of the pre-funded warrant in ordinary shares determined according to the formula set forth in the pre-funded warrant.</w:t>
      </w:r>
    </w:p>
    <w:p>
      <w:pPr>
        <w:pStyle w:val="TextBody"/>
        <w:bidi w:val="0"/>
        <w:spacing w:lineRule="auto" w:line="240" w:before="0" w:after="200"/>
        <w:jc w:val="left"/>
        <w:rPr>
          <w:rFonts w:ascii="Times New Roman;serif" w:hAnsi="Times New Roman;serif"/>
          <w:b/>
          <w:color w:val="000000"/>
          <w:sz w:val="20"/>
        </w:rPr>
      </w:pPr>
      <w:bookmarkStart w:id="35" w:name="i86ee964b9e314bf2834f9b2a5564799b"/>
      <w:bookmarkEnd w:id="35"/>
      <w:r>
        <w:rPr>
          <w:rFonts w:ascii="Times New Roman;serif" w:hAnsi="Times New Roman;serif"/>
          <w:b/>
          <w:color w:val="000000"/>
          <w:sz w:val="20"/>
        </w:rPr>
        <w:t xml:space="preserve">Exercise Limitations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may not effect the exercise of any pre-funded warrant, and a holder will not be entitled to exercise any portion of any pre-funded warrant that, upon giving effect to such exercise, would cause the aggregate number of ordinary shares beneficially owned by such holder (together with its affiliates) to exceed 4.99%, 9.99% or 19.99% (or such other percentage that was elected by each holder prior to the issuance of the pre-funded warrants) of the number of ordinary shares outstanding immediately after giving effect to the exercise, as such percentage ownership is set forth in accordance with the terms of the pre-funded warrants. However, any holder of a pre-funded warrant may increase or decrease such percentage upon at least 61 days’ prior written notice from the holder to us, provided that such percentage may not be in excess of 19.99%.</w:t>
      </w:r>
    </w:p>
    <w:p>
      <w:pPr>
        <w:pStyle w:val="TextBody"/>
        <w:bidi w:val="0"/>
        <w:spacing w:lineRule="auto" w:line="240" w:before="0" w:after="200"/>
        <w:jc w:val="left"/>
        <w:rPr>
          <w:rFonts w:ascii="Times New Roman;serif" w:hAnsi="Times New Roman;serif"/>
          <w:b/>
          <w:color w:val="000000"/>
          <w:sz w:val="20"/>
        </w:rPr>
      </w:pPr>
      <w:bookmarkStart w:id="36" w:name="i8af48f8fb0fe4abb976e1153c2aba912"/>
      <w:bookmarkEnd w:id="36"/>
      <w:r>
        <w:rPr>
          <w:rFonts w:ascii="Times New Roman;serif" w:hAnsi="Times New Roman;serif"/>
          <w:b/>
          <w:color w:val="000000"/>
          <w:sz w:val="20"/>
        </w:rPr>
        <w:t xml:space="preserve">Certain Adjustments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exercise price of the pre-funded warrants for ordinary shares to be issued upon the exercise of the pre-funded warrants is $0.001 per share. The exercise price of the pre-funded warrants and the number of ordinary shares issuable upon exercise of the pre-funded warrants is subject to appropriate adjustment in the event of certain stock dividends and distributions, stock splits, stock combinations, reclassifications or similar events affecting our ordinary shares, as well as upon any distribution of assets, including cash, stock or other property, to our shareholders.</w:t>
      </w:r>
    </w:p>
    <w:p>
      <w:pPr>
        <w:pStyle w:val="TextBody"/>
        <w:bidi w:val="0"/>
        <w:spacing w:lineRule="auto" w:line="240" w:before="0" w:after="200"/>
        <w:jc w:val="left"/>
        <w:rPr>
          <w:rFonts w:ascii="Times New Roman;serif" w:hAnsi="Times New Roman;serif"/>
          <w:b/>
          <w:color w:val="000000"/>
          <w:sz w:val="20"/>
        </w:rPr>
      </w:pPr>
      <w:bookmarkStart w:id="37" w:name="i67713fed59a04998b6a9d61905dec4e7"/>
      <w:bookmarkEnd w:id="37"/>
      <w:r>
        <w:rPr>
          <w:rFonts w:ascii="Times New Roman;serif" w:hAnsi="Times New Roman;serif"/>
          <w:b/>
          <w:color w:val="000000"/>
          <w:sz w:val="20"/>
        </w:rPr>
        <w:t>Transferability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applicable laws, the pre-funded warrants may be offered for sale, sold, transferred or assigned without our consent. </w:t>
      </w:r>
    </w:p>
    <w:p>
      <w:pPr>
        <w:pStyle w:val="TextBody"/>
        <w:bidi w:val="0"/>
        <w:spacing w:lineRule="auto" w:line="240" w:before="0" w:after="200"/>
        <w:jc w:val="left"/>
        <w:rPr>
          <w:rFonts w:ascii="Times New Roman;serif" w:hAnsi="Times New Roman;serif"/>
          <w:b/>
          <w:color w:val="000000"/>
          <w:sz w:val="20"/>
        </w:rPr>
      </w:pPr>
      <w:bookmarkStart w:id="38" w:name="if2a8019b2d3a43e9be06fb35a07fb544"/>
      <w:bookmarkEnd w:id="38"/>
      <w:r>
        <w:rPr>
          <w:rFonts w:ascii="Times New Roman;serif" w:hAnsi="Times New Roman;serif"/>
          <w:b/>
          <w:color w:val="000000"/>
          <w:sz w:val="20"/>
        </w:rPr>
        <w:t xml:space="preserve">Exchange Listing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do not intend to list the pre-funded warrants on The Nasdaq Capital Market, any other national securities exchange or any other nationally recognized trading system.</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40" w:before="0" w:after="200"/>
        <w:jc w:val="left"/>
        <w:rPr>
          <w:rFonts w:ascii="Times New Roman;serif" w:hAnsi="Times New Roman;serif"/>
          <w:b/>
          <w:color w:val="000000"/>
          <w:sz w:val="20"/>
        </w:rPr>
      </w:pPr>
      <w:bookmarkStart w:id="39" w:name="i13e77178b00a48d4bced7e1ffdfffd05"/>
      <w:bookmarkEnd w:id="39"/>
      <w:r>
        <w:rPr>
          <w:rFonts w:ascii="Times New Roman;serif" w:hAnsi="Times New Roman;serif"/>
          <w:b/>
          <w:color w:val="000000"/>
          <w:sz w:val="20"/>
        </w:rPr>
        <w:t>Warrant Agent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will initially serve as the warrant agent under the pre-funded warrants.</w:t>
      </w:r>
    </w:p>
    <w:p>
      <w:pPr>
        <w:pStyle w:val="TextBody"/>
        <w:bidi w:val="0"/>
        <w:spacing w:lineRule="auto" w:line="240" w:before="0" w:after="200"/>
        <w:jc w:val="left"/>
        <w:rPr>
          <w:rFonts w:ascii="Times New Roman;serif" w:hAnsi="Times New Roman;serif"/>
          <w:b/>
          <w:color w:val="000000"/>
          <w:sz w:val="20"/>
        </w:rPr>
      </w:pPr>
      <w:bookmarkStart w:id="40" w:name="id2c553a241aa42a69b9bdffb82fb6d20"/>
      <w:bookmarkEnd w:id="40"/>
      <w:r>
        <w:rPr>
          <w:rFonts w:ascii="Times New Roman;serif" w:hAnsi="Times New Roman;serif"/>
          <w:b/>
          <w:color w:val="000000"/>
          <w:sz w:val="20"/>
        </w:rPr>
        <w:t>Fundamental Transactions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Upon the consummation of a fundamental transaction (as described in the pre-funded warrants),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pStyle w:val="TextBody"/>
        <w:bidi w:val="0"/>
        <w:spacing w:lineRule="auto" w:line="240" w:before="0" w:after="200"/>
        <w:jc w:val="left"/>
        <w:rPr>
          <w:rFonts w:ascii="Times New Roman;serif" w:hAnsi="Times New Roman;serif"/>
          <w:b/>
          <w:color w:val="000000"/>
          <w:sz w:val="20"/>
        </w:rPr>
      </w:pPr>
      <w:bookmarkStart w:id="41" w:name="ie9a76c3371df4435a1004f72a0665c28"/>
      <w:bookmarkEnd w:id="41"/>
      <w:r>
        <w:rPr>
          <w:rFonts w:ascii="Times New Roman;serif" w:hAnsi="Times New Roman;serif"/>
          <w:b/>
          <w:color w:val="000000"/>
          <w:sz w:val="20"/>
        </w:rPr>
        <w:t xml:space="preserve">No Rights as a Shareholder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otherwise set forth in the form of pre-funded warrant or by virtue of such holder’s ownership of our ordinary shares, the holder of a pre-funded warrant does not have the rights or privileges of a holder of our ordinary shares, including any voting rights, until such holder exercises the pre-funded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42" w:name="i85ca05d73c0f4b0abb3370600c689b9d"/>
      <w:bookmarkStart w:id="43" w:name="i338faae8c6e94680b8d02d229aae4d94_91228"/>
      <w:bookmarkEnd w:id="42"/>
      <w:bookmarkEnd w:id="43"/>
      <w:r>
        <w:rPr>
          <w:rFonts w:ascii="Times New Roman;serif" w:hAnsi="Times New Roman;serif"/>
          <w:b/>
          <w:color w:val="000000"/>
          <w:sz w:val="20"/>
        </w:rPr>
        <w:t>MATERIAL U.S. FEDERAL INCOME TAX CONSIDERATIONS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the material U.S. federal income tax considerations of the purchase, ownership and disposition of the ordinary shares and pre-funded warrants, which we refer to collectively as the “Securities,”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the Securities. We have not sought and will not seek any rulings from the IRS regarding the matters discussed below. There can be no assurance the IRS or a court will not take a contrary position regarding the tax consequences of the purchase, ownership and disposition of the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discussion is limited to holders that hold the Securities as a “capital asset” within the meaning of Section 1221 of the Code (generally, property held for investment). This discussion does not address all U.S. federal income tax consequences relevant to a holder’s particular circumstances, including the impact of the alternative minimum tax or the unearned income Medicare contribution tax. In addition, it does not address consequences relevant to holders subject to particular rules, including, without limitation: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U.S. expatriates and certain former citizens or long-term residents of the United States;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persons holding the Securities as part of a hedge, straddle or other risk reduction strategy or as part of a conversion transaction or other integrated investment;</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banks, insurance companies and other financial institutions;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brokers, dealers or traders in securities;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controlled foreign corporations,” “foreign controlled foreign corporations,” “passive foreign investment companies” and corporations that accumulate earnings to avoid U.S. federal income tax;</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partnerships or other entities or arrangements treated as partnerships for U.S. federal income tax purposes (and investors therein);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tax-exempt organizations or governmental organizations;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persons deemed to sell the Securities under the constructive sale provisions of the Code;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persons who hold or receive the Securities pursuant to the exercise of any employee stock option or otherwise as compensation;</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real estate investment trusts or regulated investment companies;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persons subject to special tax accounting rules as a result of any item of gross income with respect to the Securities being taken into account in an “applicable financial statement” (as defined in the Code); </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qualified foreign pension funds” as defined in Section 897(l)(2) of the Code and entities all of the interests of which are held by qualified foreign pension funds;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tax-qualified retirement plans.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an entity treated as a partnership for U.S. federal income tax purposes holds the Securities, the tax treatment of a partner in the partnership will depend on the status of the partner, the activities of the partnership and certain determinations made at the partner level. Accordingly, partnerships holding the Securities and the partners in such partnerships should consult their tax advisors regarding the U.S. federal income tax consequences to them.</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THIS DISCUSSION IS FOR INFORMATIONAL PURPOSES ONLY AND IS NOT TAX ADVICE. INVESTORS SHOULD CONSULT THEIR TAX ADVISORS WITH RESPECT TO THE APPLICATION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OF THE U.S. FEDERAL INCOME TAX LAWS TO THEIR PARTICULAR SITUATIONS AS WELL AS ANY TAX CONSEQUENCES OF THE PURCHASE, OWNERSHIP AND DISPOSITION OF THE SECURITIES ARISING UNDER THE U.S. FEDERAL ESTATE OR GIFT TAX LAWS OR UNDER THE LAWS OF ANY STATE, LOCAL OR NON-U.S. TAXING JURISDICTION OR UNDER ANY APPLICABLE INCOME TAX TREATY.</w:t>
      </w:r>
    </w:p>
    <w:p>
      <w:pPr>
        <w:pStyle w:val="TextBody"/>
        <w:bidi w:val="0"/>
        <w:spacing w:lineRule="auto" w:line="240" w:before="0" w:after="200"/>
        <w:jc w:val="left"/>
        <w:rPr>
          <w:rFonts w:ascii="Times New Roman;serif" w:hAnsi="Times New Roman;serif"/>
          <w:b/>
          <w:color w:val="000000"/>
          <w:sz w:val="20"/>
        </w:rPr>
      </w:pPr>
      <w:bookmarkStart w:id="44" w:name="i6aa22eeb798e4755a5ecf99fd8dc94a1"/>
      <w:bookmarkEnd w:id="44"/>
      <w:r>
        <w:rPr>
          <w:rFonts w:ascii="Times New Roman;serif" w:hAnsi="Times New Roman;serif"/>
          <w:b/>
          <w:color w:val="000000"/>
          <w:sz w:val="20"/>
        </w:rPr>
        <w:t>Tax Classification of the Company as a U.S. Corporation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U.S. federal income tax purposes, a corporation generally is considered to be a tax resident in the jurisdiction of its organization or incorporation. Accordingly, under the generally applicable U.S. federal income tax rules, the Company, which is incorporated under the laws of the Cayman Islands, would be classified as a non-U.S. corporation (and, therefore, not a U.S. tax resident) for U.S. federal income tax purposes. However, Section 7874 of the Code provides an exception to this general rule, under which a non-U.S. incorporated entity may, in certain circumstances, be treated as a U.S. corporation for U.S. federal income tax purposes. These rules are complex and there is limited guidance regarding their application. A number of significant and complicated U.S. federal income tax consequences may result from such classification, and this summary does not attempt to describe all such U.S. federal income tax consequences. Section 7874 of the Code and the Treasury Regulations promulgated thereunder do not address all the possible tax consequences that arise from the Company being treated as a U.S. corporation for U.S. federal income tax purposes. Accordingly, there may be additional or unforeseen U.S. federal income tax consequences to the Company that are not discussed in this summary.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Under such rules, even though the Company is organized as a Cayman Islands corporation, it is treated as a U.S. corporation for U.S. federal income tax purposes as a result of the Redomestication and application of the so-called “inversion” rules under Section 7874 of the Code. As such, the Company is subject to U.S. federal income tax as if it were organized under the laws of the United States, any state thereof or the District of Columbia, and its dividends are treated as dividends from a U.S. corporation. In addition, the Company is required to file a U.S. federal income tax return annually with the IRS. It is anticipated that such U.S. federal income tax treatment will continue indefinitely and that our securities will be treated indefinitely as securities of a U.S. corporation for U.S. federal income tax purposes. The Company’s status as a U.S. corporation for U.S. federal income tax purposes has implications for all holders of the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discussion assumes that the Company will be treated as a U.S. corporation for U.S. federal income tax purposes.</w:t>
      </w:r>
    </w:p>
    <w:p>
      <w:pPr>
        <w:pStyle w:val="TextBody"/>
        <w:bidi w:val="0"/>
        <w:spacing w:lineRule="auto" w:line="240" w:before="0" w:after="200"/>
        <w:jc w:val="left"/>
        <w:rPr>
          <w:rFonts w:ascii="Times New Roman;serif" w:hAnsi="Times New Roman;serif"/>
          <w:b/>
          <w:color w:val="000000"/>
          <w:sz w:val="20"/>
        </w:rPr>
      </w:pPr>
      <w:bookmarkStart w:id="45" w:name="ife0603fc16f74adea91d019719203946"/>
      <w:bookmarkEnd w:id="45"/>
      <w:r>
        <w:rPr>
          <w:rFonts w:ascii="Times New Roman;serif" w:hAnsi="Times New Roman;serif"/>
          <w:b/>
          <w:color w:val="000000"/>
          <w:sz w:val="20"/>
        </w:rPr>
        <w:t>Treatment of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Although not free from doubt, a pre-funded warrant should be treated as an ordinary share for U.S. federal income tax purposes, and a holder of pre-funded warrants should generally be taxed in the same manner as a holder of ordinary shares, as described below. Accordingly, no gain or loss should be recognized (other than with respect to cash paid in lieu of a fractional share) upon the exercise of a pre-funded warrant (except in the case of a cashless exercise, the treatment of which for U.S. federal income tax purposes is not clear) and, upon exercise, the holding period of a pre-funded warrant should carry over to the ordinary share received. Similarly, the tax basis of the pre-funded warrant should carry over to the ordinary share received upon exercise, increased by the exercise price of $0.001. The discussion below assumes the characterization described above is respected for U.S. federal income tax purposes. Holders should consult their tax advisors regarding the risks associated with the acquisition of pre-funded warrants pursuant to this offering (including alternative characterizations).</w:t>
      </w:r>
    </w:p>
    <w:p>
      <w:pPr>
        <w:pStyle w:val="TextBody"/>
        <w:bidi w:val="0"/>
        <w:spacing w:lineRule="auto" w:line="240" w:before="0" w:after="200"/>
        <w:jc w:val="left"/>
        <w:rPr>
          <w:rFonts w:ascii="Times New Roman;serif" w:hAnsi="Times New Roman;serif"/>
          <w:b/>
          <w:color w:val="000000"/>
          <w:sz w:val="20"/>
        </w:rPr>
      </w:pPr>
      <w:bookmarkStart w:id="46" w:name="ic1c447cb0582429d9602bd78360d84fb"/>
      <w:bookmarkEnd w:id="46"/>
      <w:r>
        <w:rPr>
          <w:rFonts w:ascii="Times New Roman;serif" w:hAnsi="Times New Roman;serif"/>
          <w:b/>
          <w:color w:val="000000"/>
          <w:sz w:val="20"/>
        </w:rPr>
        <w:t>Tax Considerations Applicable to U.S. Holders</w:t>
      </w:r>
    </w:p>
    <w:p>
      <w:pPr>
        <w:pStyle w:val="TextBody"/>
        <w:bidi w:val="0"/>
        <w:spacing w:lineRule="auto" w:line="240" w:before="0" w:after="200"/>
        <w:jc w:val="left"/>
        <w:rPr>
          <w:rFonts w:ascii="Times New Roman;serif" w:hAnsi="Times New Roman;serif"/>
          <w:b/>
          <w:i/>
          <w:color w:val="000000"/>
          <w:sz w:val="20"/>
        </w:rPr>
      </w:pPr>
      <w:bookmarkStart w:id="47" w:name="i298918ffd97c4867b0ead95340b144b2"/>
      <w:bookmarkEnd w:id="47"/>
      <w:r>
        <w:rPr>
          <w:rFonts w:ascii="Times New Roman;serif" w:hAnsi="Times New Roman;serif"/>
          <w:b/>
          <w:i/>
          <w:color w:val="000000"/>
          <w:sz w:val="20"/>
        </w:rPr>
        <w:t>Definition of a U.S. Holder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any beneficial owner of the Securities that, for U.S. federal income tax purposes, is or is treated as any of the following:</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a corporation created or organized under the laws of the United States, any state thereof or the District of Columbia;</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TextBody"/>
        <w:bidi w:val="0"/>
        <w:spacing w:lineRule="auto" w:line="240" w:before="0" w:after="200"/>
        <w:ind w:left="0" w:right="0" w:hanging="360"/>
        <w:jc w:val="left"/>
        <w:rPr/>
      </w:pPr>
      <w:r>
        <w:rPr>
          <w:color w:val="000000"/>
        </w:rPr>
        <w:t>•</w:t>
      </w:r>
      <w:r>
        <w:rPr>
          <w:rFonts w:ascii="Times New Roman;serif" w:hAnsi="Times New Roman;serif"/>
          <w:b w:val="false"/>
          <w:color w:val="000000"/>
          <w:sz w:val="20"/>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pStyle w:val="TextBody"/>
        <w:bidi w:val="0"/>
        <w:spacing w:lineRule="auto" w:line="240" w:before="0" w:after="200"/>
        <w:jc w:val="left"/>
        <w:rPr>
          <w:rFonts w:ascii="Times New Roman;serif" w:hAnsi="Times New Roman;serif"/>
          <w:b/>
          <w:i/>
          <w:color w:val="000000"/>
          <w:sz w:val="20"/>
        </w:rPr>
      </w:pPr>
      <w:bookmarkStart w:id="48" w:name="i3742ec05012447f69282a9557587f307"/>
      <w:bookmarkEnd w:id="48"/>
      <w:r>
        <w:rPr>
          <w:rFonts w:ascii="Times New Roman;serif" w:hAnsi="Times New Roman;serif"/>
          <w:b/>
          <w:i/>
          <w:color w:val="000000"/>
          <w:sz w:val="20"/>
        </w:rPr>
        <w:t>Distributions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do not intend to pay cash dividends on our ordinary shares in the foreseeable future. However, if we do make distributions on our ordinary shares, such distributions of cash or property on our ordinary shares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ordinary shares, but not below zero. Any excess will be treated as capital gain and will be treated as described below in the section titled “—Sale or Other Taxable Disposition of the Securities.”</w:t>
      </w:r>
    </w:p>
    <w:p>
      <w:pPr>
        <w:pStyle w:val="TextBody"/>
        <w:bidi w:val="0"/>
        <w:spacing w:lineRule="auto" w:line="240" w:before="0" w:after="200"/>
        <w:jc w:val="left"/>
        <w:rPr>
          <w:rFonts w:ascii="Times New Roman;serif" w:hAnsi="Times New Roman;serif"/>
          <w:b/>
          <w:i/>
          <w:color w:val="000000"/>
          <w:sz w:val="20"/>
        </w:rPr>
      </w:pPr>
      <w:bookmarkStart w:id="49" w:name="i2cac296d088c4761870eb9e2c78348d8"/>
      <w:bookmarkEnd w:id="49"/>
      <w:r>
        <w:rPr>
          <w:rFonts w:ascii="Times New Roman;serif" w:hAnsi="Times New Roman;serif"/>
          <w:b/>
          <w:i/>
          <w:color w:val="000000"/>
          <w:sz w:val="20"/>
        </w:rPr>
        <w:t>Sale or Other Taxable Disposition of the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Upon the sale, exchange or other taxable disposition of the Securities, a U.S. holder generally will recognize capital gain or loss equal to the difference between (1) the amount of cash and the fair market value of any property received upon the sale, exchange or other taxable disposition and (2) such U.S. holder’s adjusted tax basis in the ordinary share or pre-funded warrant. Such capital gain or loss will be long-term capital gain or loss if the U.S. holder’s holding period in such ordinary share or pre-funded warrant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pStyle w:val="TextBody"/>
        <w:bidi w:val="0"/>
        <w:spacing w:lineRule="auto" w:line="240" w:before="0" w:after="200"/>
        <w:jc w:val="left"/>
        <w:rPr>
          <w:rFonts w:ascii="Times New Roman;serif" w:hAnsi="Times New Roman;serif"/>
          <w:b/>
          <w:i/>
          <w:color w:val="000000"/>
          <w:sz w:val="20"/>
        </w:rPr>
      </w:pPr>
      <w:bookmarkStart w:id="50" w:name="iaeabe9387bde4a5191e1f9af40faaf49"/>
      <w:bookmarkEnd w:id="50"/>
      <w:r>
        <w:rPr>
          <w:rFonts w:ascii="Times New Roman;serif" w:hAnsi="Times New Roman;serif"/>
          <w:b/>
          <w:i/>
          <w:color w:val="000000"/>
          <w:sz w:val="20"/>
        </w:rPr>
        <w:t>Constructive Dividends on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U.S. holder of a pre-funded warrant may, in some circumstances, be deemed to have received a distribution subject to U.S. federal income tax as a result of an adjustment or the non-occurrence of an adjustment to the exercise price or number of ordinary shares issuable upon exercise of the pre-funded warrant. U.S. holders should consult their tax advisors regarding the proper treatment of any adjustments (or the non-occurrence of any adjustments) to the pre-funded warrants.</w:t>
      </w:r>
    </w:p>
    <w:p>
      <w:pPr>
        <w:pStyle w:val="TextBody"/>
        <w:bidi w:val="0"/>
        <w:spacing w:lineRule="auto" w:line="240" w:before="0" w:after="200"/>
        <w:jc w:val="left"/>
        <w:rPr>
          <w:rFonts w:ascii="Times New Roman;serif" w:hAnsi="Times New Roman;serif"/>
          <w:b/>
          <w:i/>
          <w:color w:val="000000"/>
          <w:sz w:val="20"/>
        </w:rPr>
      </w:pPr>
      <w:bookmarkStart w:id="51" w:name="i6811ffacc8894d149180a878005685b8"/>
      <w:bookmarkEnd w:id="51"/>
      <w:r>
        <w:rPr>
          <w:rFonts w:ascii="Times New Roman;serif" w:hAnsi="Times New Roman;serif"/>
          <w:b/>
          <w:i/>
          <w:color w:val="000000"/>
          <w:sz w:val="20"/>
        </w:rPr>
        <w:t>Information Reporting and Backup Withholding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U.S. holder may be subject to information reporting and backup withholding when such holder receives payments on the Securities (including constructive dividends) or receives proceeds from the sale or other taxable disposition of the Securities. Certain U.S. holders are exempt from backup withholding, including corporations and certain tax-exempt organizations. A U.S. holder will be subject to backup withholding if such holder is not otherwise exempt and such holder:</w:t>
      </w:r>
    </w:p>
    <w:p>
      <w:pPr>
        <w:pStyle w:val="TextBody"/>
        <w:bidi w:val="0"/>
        <w:spacing w:lineRule="auto" w:line="240" w:before="200" w:after="20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fails to furnish the holder’s taxpayer identification number, which for an individual is ordinarily his or her social security number;</w:t>
      </w:r>
    </w:p>
    <w:p>
      <w:pPr>
        <w:pStyle w:val="TextBody"/>
        <w:bidi w:val="0"/>
        <w:spacing w:lineRule="auto" w:line="240" w:before="200" w:after="20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furnishes an incorrect taxpayer identification number; or</w:t>
      </w:r>
    </w:p>
    <w:p>
      <w:pPr>
        <w:pStyle w:val="TextBody"/>
        <w:bidi w:val="0"/>
        <w:spacing w:lineRule="auto" w:line="240" w:before="200" w:after="20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is notified by the IRS that the holder previously failed to properly report payments of interest or dividends, or fails to certify under penalties of perjury that the holder has furnished a correct taxpayer identification number and that the IRS has not notified the holder that the holder is subject to backup withholding.</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lineRule="auto" w:line="240" w:before="0" w:after="200"/>
        <w:jc w:val="left"/>
        <w:rPr>
          <w:rFonts w:ascii="Times New Roman;serif" w:hAnsi="Times New Roman;serif"/>
          <w:b/>
          <w:color w:val="000000"/>
          <w:sz w:val="20"/>
        </w:rPr>
      </w:pPr>
      <w:bookmarkStart w:id="52" w:name="ieb67d552169c413faaa8011e258ff519"/>
      <w:bookmarkEnd w:id="52"/>
      <w:r>
        <w:rPr>
          <w:rFonts w:ascii="Times New Roman;serif" w:hAnsi="Times New Roman;serif"/>
          <w:b/>
          <w:color w:val="000000"/>
          <w:sz w:val="20"/>
        </w:rPr>
        <w:t>Tax Considerations Applicable to Non-U.S. Holders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 beneficial owner of the Securities that is neither a U.S. holder nor an entity treated as a partnership for U.S. federal income tax purposes.</w:t>
      </w:r>
    </w:p>
    <w:p>
      <w:pPr>
        <w:pStyle w:val="TextBody"/>
        <w:bidi w:val="0"/>
        <w:spacing w:lineRule="auto" w:line="240" w:before="0" w:after="200"/>
        <w:jc w:val="left"/>
        <w:rPr>
          <w:rFonts w:ascii="Times New Roman;serif" w:hAnsi="Times New Roman;serif"/>
          <w:b/>
          <w:i/>
          <w:color w:val="000000"/>
          <w:sz w:val="20"/>
        </w:rPr>
      </w:pPr>
      <w:bookmarkStart w:id="53" w:name="i92e4bd2a6465449aabad780edc81697f"/>
      <w:bookmarkEnd w:id="53"/>
      <w:r>
        <w:rPr>
          <w:rFonts w:ascii="Times New Roman;serif" w:hAnsi="Times New Roman;serif"/>
          <w:b/>
          <w:i/>
          <w:color w:val="000000"/>
          <w:sz w:val="20"/>
        </w:rPr>
        <w:t>Distributions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do not intend to pay cash dividends on our ordinary shares for the foreseeable future. However, if we do make distributions on our ordinary shares, such distributions of cash or property on our ordinary shares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ordinary shares, but not below zero. Any excess will be treated as capital gain and will be treated as described below in the section titled “—Sale or Other Taxable Disposition of the Securities.”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Dividends paid to a non-U.S. holder that are not effectively connected with the non-U.S. holder’s conduct of a trade or business within the United States will be subject to U.S. federal withholding tax at a rate of 30% of the gross amount of the dividends (or such lower rate specified by an applicable income tax treaty).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Non-U.S. holders will be entitled to a reduction in or an exemption from withholding on dividends as a result of either (a) an applicable income tax treaty or (b) the non-U.S. holder holding our ordinary shares in connection with the conduct of a trade or business within the United States and dividends being effectively connected with that trade or business. To claim such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United States and the country in which the non-U.S. holder resides or is established, or (b) IRS Form W-8ECI stating that the dividends are not subject to withholding tax because they are effectively connected with the conduct by the non-U.S. holder of a trade or business within the United States, as may be applicable. These certifications must be provided to the applicable withholding agent prior to the payment of dividends.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rates applicable to United States persons.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pStyle w:val="TextBody"/>
        <w:bidi w:val="0"/>
        <w:spacing w:lineRule="auto" w:line="240" w:before="0" w:after="200"/>
        <w:jc w:val="left"/>
        <w:rPr>
          <w:rFonts w:ascii="Times New Roman;serif" w:hAnsi="Times New Roman;serif"/>
          <w:b/>
          <w:i/>
          <w:color w:val="000000"/>
          <w:sz w:val="20"/>
        </w:rPr>
      </w:pPr>
      <w:bookmarkStart w:id="54" w:name="if19d41d2c3154f73ab62b1bc5dd7487a"/>
      <w:bookmarkEnd w:id="54"/>
      <w:r>
        <w:rPr>
          <w:rFonts w:ascii="Times New Roman;serif" w:hAnsi="Times New Roman;serif"/>
          <w:b/>
          <w:i/>
          <w:color w:val="000000"/>
          <w:sz w:val="20"/>
        </w:rPr>
        <w:t>Sale or Other Taxable Disposition of the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non-U.S. holder will not be subject to U.S. federal income tax on any gain realized upon the sale or other taxable disposition of the Securities unless: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non-U.S. holder is a nonresident alien individual present in the United States for 183 days or more during the taxable year of the disposition and certain other requirements are met;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Securities constitute U.S. real property interests (“USRPIs”) by reason of our status as a U.S. real property holding corporation (“USRPHC”) for U.S. federal income tax purposes.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Gain described in the first bullet point above will generally be subject to U.S. federal income tax on a net income basis at the regular rates applicable to United States persons. A non-U.S. holder that is a corporation also may be subject to a branch profits tax at a rate of 30% (or such lower rate specified by an applicable income tax treaty) on such effectively connected gain, as adjusted for certain items.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non-U.S. holder described in the second bullet point above will be subject to U.S. federal income tax at a rate of 30% (or such lower rate specified by an applicable income tax treaty) on any gain realized upon the sale or other taxable disposition of the Securities, which may be offset by certain U.S. source capital losses of the non-U.S. holder (even though the individual is not considered a resident of the United States) provided the non-U.S. holder has timely filed U.S. federal income tax returns with respect to such losses.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that we are not a USRPHC or will not become one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potentially applicable income tax treaties that may provide for different rules.</w:t>
      </w:r>
    </w:p>
    <w:p>
      <w:pPr>
        <w:pStyle w:val="TextBody"/>
        <w:bidi w:val="0"/>
        <w:spacing w:lineRule="auto" w:line="240" w:before="0" w:after="200"/>
        <w:jc w:val="left"/>
        <w:rPr>
          <w:rFonts w:ascii="Times New Roman;serif" w:hAnsi="Times New Roman;serif"/>
          <w:b/>
          <w:i/>
          <w:color w:val="000000"/>
          <w:sz w:val="20"/>
        </w:rPr>
      </w:pPr>
      <w:bookmarkStart w:id="55" w:name="i91d608b4ab29419589d7222381aa1afc"/>
      <w:bookmarkEnd w:id="55"/>
      <w:r>
        <w:rPr>
          <w:rFonts w:ascii="Times New Roman;serif" w:hAnsi="Times New Roman;serif"/>
          <w:b/>
          <w:i/>
          <w:color w:val="000000"/>
          <w:sz w:val="20"/>
        </w:rPr>
        <w:t>Constructive Dividends on Pre-Funded Warrants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non-U.S. holder of pre-funded warrants can be treated as receiving deemed payment of a taxable dividend under certain circumstances as a result of an adjustment or the non-occurrence of an adjustment to the exercise price or number of ordinary shares issuable upon exercise of the pre-funded warrant. Any resulting withholding tax attributable to deemed dividends may be collected from other amounts payable or distributable to the non-U.S. holder. Non-U.S. holders should consult their tax advisors regarding the proper treatment of any adjustments (or the non-occurrence of any adjustments) to the pre-funded warrants.</w:t>
      </w:r>
    </w:p>
    <w:p>
      <w:pPr>
        <w:pStyle w:val="TextBody"/>
        <w:bidi w:val="0"/>
        <w:spacing w:lineRule="auto" w:line="240" w:before="0" w:after="200"/>
        <w:jc w:val="left"/>
        <w:rPr>
          <w:rFonts w:ascii="Times New Roman;serif" w:hAnsi="Times New Roman;serif"/>
          <w:b/>
          <w:i/>
          <w:color w:val="000000"/>
          <w:sz w:val="20"/>
        </w:rPr>
      </w:pPr>
      <w:bookmarkStart w:id="56" w:name="i4424ce81c9af42fe8b121e49b7d859f6"/>
      <w:bookmarkEnd w:id="56"/>
      <w:r>
        <w:rPr>
          <w:rFonts w:ascii="Times New Roman;serif" w:hAnsi="Times New Roman;serif"/>
          <w:b/>
          <w:i/>
          <w:color w:val="000000"/>
          <w:sz w:val="20"/>
        </w:rPr>
        <w:t>Information Reporting and Backup Withholding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non-U.S. holder will not be subject to backup withholding with respect to distributions on the Securities (including constructive dividends), provided the applicable withholding agent does not have actual knowledge or reason to know such holder is a United States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the Securities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Information reporting and backup withholding may apply to the proceeds of a sale or other taxable disposition of the Securities within the United States, and information reporting may (although backup withholding generally will not) apply to the proceeds of a sale or other taxable disposition of the Securities outside the United States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United States person) or such owner otherwise establishes an exemption. Proceeds of a disposition of the Securities conducted through a non-U.S. office of a non-U.S. broker generally will not be subject to backup withholding or information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lineRule="auto" w:line="240" w:before="0" w:after="200"/>
        <w:jc w:val="left"/>
        <w:rPr>
          <w:rFonts w:ascii="Times New Roman;serif" w:hAnsi="Times New Roman;serif"/>
          <w:b/>
          <w:i/>
          <w:color w:val="000000"/>
          <w:sz w:val="20"/>
        </w:rPr>
      </w:pPr>
      <w:bookmarkStart w:id="57" w:name="i89fe5292f2324ce18a38e615772075d3"/>
      <w:bookmarkEnd w:id="57"/>
      <w:r>
        <w:rPr>
          <w:rFonts w:ascii="Times New Roman;serif" w:hAnsi="Times New Roman;serif"/>
          <w:b/>
          <w:i/>
          <w:color w:val="000000"/>
          <w:sz w:val="20"/>
        </w:rPr>
        <w:t>Additional Withholding Tax on Payments Made to Foreign Accounts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(including deemed dividends) paid on the Securities, or (subject to the proposed Treasury Regulations discussed below) gross proceeds from the sale or other disposition of the Securities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Under applicable Treasury Regulations and administrative guidance, withholding under FATCA generally applies to payments of dividends (including deemed dividends). Because we may not know the extent to which a distribution (including deemed distributions)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the Securities, beginning on January 1, 2019, proposed Treasury Regulations eliminate FATCA withholding on payments of gross proceeds entirely. Taxpayers generally may rely on these proposed Treasury Regulations until final Treasury Regulations are issued.</w:t>
      </w:r>
    </w:p>
    <w:p>
      <w:pPr>
        <w:pStyle w:val="TextBody"/>
        <w:bidi w:val="0"/>
        <w:spacing w:lineRule="auto" w:line="288" w:before="0" w:after="200"/>
        <w:jc w:val="left"/>
        <w:rPr/>
      </w:pPr>
      <w:r>
        <w:rPr>
          <w:rFonts w:ascii="Times New Roman;serif" w:hAnsi="Times New Roman;serif"/>
          <w:b w:val="false"/>
          <w:color w:val="000000"/>
          <w:sz w:val="20"/>
        </w:rPr>
        <w:t>Prospective investors should consult their tax advisors regarding the potential application of withholding under FATCA to their investment in the Securities.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58" w:name="i259b00b93f4349feab959e984658421f"/>
      <w:bookmarkStart w:id="59" w:name="i338faae8c6e94680b8d02d229aae4d94_91225"/>
      <w:bookmarkEnd w:id="58"/>
      <w:bookmarkEnd w:id="59"/>
      <w:r>
        <w:rPr>
          <w:rFonts w:ascii="Times New Roman;serif" w:hAnsi="Times New Roman;serif"/>
          <w:b/>
          <w:color w:val="000000"/>
          <w:sz w:val="20"/>
        </w:rPr>
        <w:t>CERTAIN CAYMAN ISLANDS TAX CONSIDERATIONS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 is the responsibility of all persons interested in purchasing Securities to inform themselves as to any tax consequences from their investing in us and our operations or management, as well as any foreign exchange or other fiscal or legal restrictions, which are relevant to their particular circumstances in connection with the acquisition, holding or disposition of Securities. Holders should therefore seek their own separate tax advice in relation to their holding of Securities and accordingly we do not accept any responsibility for the taxation consequences of any investment in us by a holder.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is, at present, no direct taxation in the Cayman Islands and interest, dividends and gains payable to us will be received free of all Cayman Islands taxes. We are registered as an “exempted company” pursuant to the Companies Act (as amended). We have received an undertaking from the Government of the Cayman Islands to the effect that, for a period of 30 years from the date of the undertaking, no law that thereafter is enacted in the Cayman Islands imposing any tax or duty to be levied on profits, income or on gains or appreciation, or any tax in the nature of estate duty or inheritance tax, will apply to any property comprised in or any income arising under us, or to our holders, in respect of any such property or income.</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60" w:name="i5942adf64ccb4435aa594ac4e8135206"/>
      <w:bookmarkStart w:id="61" w:name="i338faae8c6e94680b8d02d229aae4d94_91226"/>
      <w:bookmarkEnd w:id="60"/>
      <w:bookmarkEnd w:id="61"/>
      <w:r>
        <w:rPr>
          <w:rFonts w:ascii="Times New Roman;serif" w:hAnsi="Times New Roman;serif"/>
          <w:b/>
          <w:color w:val="000000"/>
          <w:sz w:val="20"/>
        </w:rPr>
        <w:t>UNDERWRITING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underwriting agreement, dated July 14, 2026, among us and Jefferies LLC and TD Securities (USA) LLC, as the representatives of the underwriters named below and the lead joint book-running managers of this offering, we have agreed to sell to the underwriters, and each of the underwriters has agreed, severally and not jointly, to purchase from us, the respective number of ordinary shares and pre-funded warrants shown opposite its name below:</w:t>
      </w:r>
    </w:p>
    <w:tbl>
      <w:tblPr>
        <w:tblW w:w="8651" w:type="dxa"/>
        <w:jc w:val="left"/>
        <w:tblInd w:w="0" w:type="dxa"/>
        <w:tblLayout w:type="fixed"/>
        <w:tblCellMar>
          <w:top w:w="28" w:type="dxa"/>
          <w:left w:w="28" w:type="dxa"/>
          <w:bottom w:w="28" w:type="dxa"/>
          <w:right w:w="28" w:type="dxa"/>
        </w:tblCellMar>
      </w:tblPr>
      <w:tblGrid>
        <w:gridCol w:w="897"/>
        <w:gridCol w:w="787"/>
        <w:gridCol w:w="791"/>
        <w:gridCol w:w="694"/>
        <w:gridCol w:w="694"/>
        <w:gridCol w:w="696"/>
        <w:gridCol w:w="109"/>
        <w:gridCol w:w="109"/>
        <w:gridCol w:w="109"/>
        <w:gridCol w:w="1103"/>
        <w:gridCol w:w="1103"/>
        <w:gridCol w:w="1559"/>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UNDERWRITER</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NUMBER OF PRE-FUNDED WARRANTS</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Jefferies LLC</w:t>
            </w:r>
          </w:p>
        </w:tc>
        <w:tc>
          <w:tcPr>
            <w:tcW w:w="2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2,468,912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160,399</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TD Securities (USA) LLC</w:t>
            </w:r>
          </w:p>
        </w:tc>
        <w:tc>
          <w:tcPr>
            <w:tcW w:w="2084"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1,861,803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120,956</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Guggenheim Securities, LLC</w:t>
            </w:r>
          </w:p>
        </w:tc>
        <w:tc>
          <w:tcPr>
            <w:tcW w:w="2084"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1,578,485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102,549</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Cantor Fitzgerald &amp; Co.</w:t>
            </w:r>
          </w:p>
        </w:tc>
        <w:tc>
          <w:tcPr>
            <w:tcW w:w="2084"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1,538,010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99,921</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LifeSci Capital LLC</w:t>
            </w:r>
          </w:p>
        </w:tc>
        <w:tc>
          <w:tcPr>
            <w:tcW w:w="2084"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647,583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42,072</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084"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8,094,793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525,897</w:t>
            </w:r>
          </w:p>
        </w:tc>
      </w:tr>
    </w:tbl>
    <w:p>
      <w:pPr>
        <w:pStyle w:val="TextBody"/>
        <w:bidi w:val="0"/>
        <w:spacing w:before="0" w:after="18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are offering the ordinary shares and pre-funded warrants subject to their acceptance of the ordinary shares and pre-funded warrants from us and subject to prior sale. The underwriters reserve the right to withdraw, cancel or modify offers to the public and to reject orders in whole or in part. The underwriters have not been engaged to act as warrant agent for the pre-funded warrants or to act as underwriter or agent or otherwise participate in the issuance of the ordinary shares upon the exercise of the pre-funded warrants.</w:t>
      </w:r>
    </w:p>
    <w:p>
      <w:pPr>
        <w:pStyle w:val="TextBody"/>
        <w:bidi w:val="0"/>
        <w:spacing w:lineRule="auto" w:line="240" w:before="0" w:after="200"/>
        <w:jc w:val="left"/>
        <w:rPr>
          <w:rFonts w:ascii="Times New Roman;serif" w:hAnsi="Times New Roman;serif"/>
          <w:b/>
          <w:color w:val="000000"/>
          <w:sz w:val="20"/>
        </w:rPr>
      </w:pPr>
      <w:bookmarkStart w:id="62" w:name="i9f01265be1c34a0da3a6a3851467c48a"/>
      <w:bookmarkEnd w:id="62"/>
      <w:r>
        <w:rPr>
          <w:rFonts w:ascii="Times New Roman;serif" w:hAnsi="Times New Roman;serif"/>
          <w:b/>
          <w:color w:val="000000"/>
          <w:sz w:val="20"/>
        </w:rPr>
        <w:t>Commission and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have advised us that they propose to offer the ordinary shares and pre-funded warrants to the public at the initial public offering price set forth on the cover page of this prospectus supplement and to certain dealers, which may include the underwriters, at that price less a concession not in excess of $0.522 per ordinary share or $0.522 per pre-funded warrant. After the offering, the initial public offering price, concession and reallowance to dealers may be reduced by the representatives. No such reduction will change the amount of proceeds to be received by us as set forth on the cover page of this prospectus supplement.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9"/>
        <w:gridCol w:w="385"/>
        <w:gridCol w:w="325"/>
        <w:gridCol w:w="803"/>
        <w:gridCol w:w="415"/>
        <w:gridCol w:w="416"/>
        <w:gridCol w:w="789"/>
        <w:gridCol w:w="407"/>
        <w:gridCol w:w="408"/>
        <w:gridCol w:w="714"/>
        <w:gridCol w:w="369"/>
        <w:gridCol w:w="370"/>
        <w:gridCol w:w="803"/>
        <w:gridCol w:w="837"/>
        <w:gridCol w:w="416"/>
        <w:gridCol w:w="734"/>
        <w:gridCol w:w="761"/>
        <w:gridCol w:w="544"/>
      </w:tblGrid>
      <w:tr>
        <w:trPr/>
        <w:tc>
          <w:tcPr>
            <w:tcW w:w="7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PER SHARE</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WITHOUT OPTION TO PURCHASE ADDITIONAL SHARES</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WITH OPTION TO PURCHASE ADDITIONAL SHARES</w:t>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PER PRE-FUNDED WARRANT</w:t>
            </w:r>
          </w:p>
        </w:tc>
        <w:tc>
          <w:tcPr>
            <w:tcW w:w="2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WITHOUT OPTION TO PURCHASE ADDITIONAL SHARES</w:t>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WITH OPTION TO PURCHASE ADDITIONAL SHARES</w:t>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14.499</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124,999,479</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143,749,473</w:t>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 paid by us</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0.87</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0.87</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0.87</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7,500,000</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8,625,000</w:t>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Proceeds to us, before expenses</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13.629</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117,499,479</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135,124,473</w:t>
            </w:r>
          </w:p>
        </w:tc>
      </w:tr>
    </w:tbl>
    <w:p>
      <w:pPr>
        <w:pStyle w:val="TextBody"/>
        <w:bidi w:val="0"/>
        <w:spacing w:before="0" w:after="180"/>
        <w:jc w:val="both"/>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estimate expenses payable by us in connection with this offering, other than the underwriting discounts and commissions referred to above, will be approximately $1,610,000. We have also agreed to reimburse the underwriters for their Financial Industry Regulatory Authority, Inc. (FINRA) counsel fee in an amount up to $40,000. In accordance with FINRA Rule 5110, this reimbursed fee is deemed underwriting compensation for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entered into an agreement with Piper Sandler &amp; Co. for financial advisory services in connection with this offering.</w:t>
      </w:r>
    </w:p>
    <w:p>
      <w:pPr>
        <w:pStyle w:val="TextBody"/>
        <w:bidi w:val="0"/>
        <w:spacing w:lineRule="auto" w:line="240" w:before="0" w:after="200"/>
        <w:jc w:val="left"/>
        <w:rPr>
          <w:rFonts w:ascii="Times New Roman;serif" w:hAnsi="Times New Roman;serif"/>
          <w:b/>
          <w:color w:val="000000"/>
          <w:sz w:val="20"/>
        </w:rPr>
      </w:pPr>
      <w:bookmarkStart w:id="63" w:name="i71a1b1504cd6444293f21dd8e5b9120f"/>
      <w:bookmarkEnd w:id="63"/>
      <w:r>
        <w:rPr>
          <w:rFonts w:ascii="Times New Roman;serif" w:hAnsi="Times New Roman;serif"/>
          <w:b/>
          <w:color w:val="000000"/>
          <w:sz w:val="20"/>
        </w:rPr>
        <w:t>Listing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ordinary shares are listed on The Nasdaq Capital Market under the trading symbol “CBIO.” There is no established trading market for the pre-funded warrants, and we do not expect a trading market to develop. We do not intend to list the pre-funded warrants on any securities exchange or nationally recognized trading system, including The Nasdaq Capital Market. Without a trading market, the liquidity of the pre-funded warrants will be limited.</w:t>
      </w:r>
    </w:p>
    <w:p>
      <w:pPr>
        <w:pStyle w:val="TextBody"/>
        <w:bidi w:val="0"/>
        <w:spacing w:lineRule="auto" w:line="240" w:before="0" w:after="200"/>
        <w:jc w:val="left"/>
        <w:rPr>
          <w:rFonts w:ascii="Times New Roman;serif" w:hAnsi="Times New Roman;serif"/>
          <w:b/>
          <w:color w:val="000000"/>
          <w:sz w:val="20"/>
        </w:rPr>
      </w:pPr>
      <w:bookmarkStart w:id="64" w:name="i774f67e19f4e4463b293c78a2122f211"/>
      <w:bookmarkEnd w:id="64"/>
      <w:r>
        <w:rPr>
          <w:rFonts w:ascii="Times New Roman;serif" w:hAnsi="Times New Roman;serif"/>
          <w:b/>
          <w:color w:val="000000"/>
          <w:sz w:val="20"/>
        </w:rPr>
        <w:t>Option to Purchase Additional Ordinary Shares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granted to the underwriters an option, exercisable for 30 days from the date of this prospectus supplement, to purchase, from time to time, in whole or in part, up to an aggregate of ordinary shares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 This option may be exercised only if the underwriters sell more ordinary shares than the total number set forth on the cover page of this prospectus.</w:t>
      </w:r>
    </w:p>
    <w:p>
      <w:pPr>
        <w:pStyle w:val="TextBody"/>
        <w:bidi w:val="0"/>
        <w:spacing w:lineRule="auto" w:line="240" w:before="0" w:after="200"/>
        <w:jc w:val="left"/>
        <w:rPr>
          <w:rFonts w:ascii="Times New Roman;serif" w:hAnsi="Times New Roman;serif"/>
          <w:b/>
          <w:color w:val="000000"/>
          <w:sz w:val="20"/>
        </w:rPr>
      </w:pPr>
      <w:bookmarkStart w:id="65" w:name="i57f29b610b1a4f4fb8cf8f1f09c87ab4"/>
      <w:bookmarkEnd w:id="65"/>
      <w:r>
        <w:rPr>
          <w:rFonts w:ascii="Times New Roman;serif" w:hAnsi="Times New Roman;serif"/>
          <w:b/>
          <w:color w:val="000000"/>
          <w:sz w:val="20"/>
        </w:rPr>
        <w:t>No Sales of Similar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our executive officers and directors and certain stockholders have agreed, subject to specified exceptions, not to directly or indirectly:</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sell, offer, contract or grant any option to sell (including any short sale), pledge, transfer, establish an open “put equivalent position” within the meaning of Rule 16a-l(h) under the Exchange Act,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otherwise dispose of any ordinary shares, options or warrants to acquire ordinary shares, or securities exchangeable or exercisable for or convertible into ordinary shares currently or hereafter owned either of record or beneficially,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enter into any swap, hedge or similar arrangement or agreement that transfers, in whole or in part, the economic risk of ownership of our ordinary shares, or of options or warrants to purchase ordinary shares, or securities or rights exchangeable or exercisable for or convertible into ordinary shares, or </w:t>
      </w:r>
      <w:r>
        <w:rPr>
          <w:rFonts w:ascii="Times New Roman;serif" w:hAnsi="Times New Roman;serif"/>
          <w:b w:val="false"/>
          <w:color w:val="000000"/>
          <w:sz w:val="20"/>
        </w:rPr>
        <w:t xml:space="preserve">publicly announce an intention to do any of the foregoing for a period of 60 days after the date of this prospectus without the prior written consent of the representatives. This restriction terminates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close of trading of our ordinary shares on and including the 60th day after the date of this prospectus supplement.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representatives may, in their sole discretion and at any time or from time to time before the termination of the 60-day period, release all or any portion of the securities subject to lock-up agreements. Except for customary lock-up exceptions, including with respect to our Sales Agreement with Jefferies LLC (until the earlier of (i) the exercise in full by the underwriters of their option to purchase additional ordinary shares and (ii) 30 calendar days after the date of this prospectus supplement), there are no existing agreements between the underwriters and any of our shareholders who executed a lock-up agreement, providing consent to the sale of ordinary shares prior to the expiration of the lock-up period.</w:t>
      </w:r>
    </w:p>
    <w:p>
      <w:pPr>
        <w:pStyle w:val="TextBody"/>
        <w:bidi w:val="0"/>
        <w:spacing w:lineRule="auto" w:line="240" w:before="0" w:after="200"/>
        <w:jc w:val="left"/>
        <w:rPr>
          <w:rFonts w:ascii="Times New Roman;serif" w:hAnsi="Times New Roman;serif"/>
          <w:b/>
          <w:color w:val="000000"/>
          <w:sz w:val="20"/>
        </w:rPr>
      </w:pPr>
      <w:bookmarkStart w:id="66" w:name="i7b545fb112c54f2a9d317dee14f9582f"/>
      <w:bookmarkEnd w:id="66"/>
      <w:r>
        <w:rPr>
          <w:rFonts w:ascii="Times New Roman;serif" w:hAnsi="Times New Roman;serif"/>
          <w:b/>
          <w:color w:val="000000"/>
          <w:sz w:val="20"/>
        </w:rPr>
        <w:t>Stabilization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our ordinary shares at a level above that which might otherwise prevail in the open market. Establishing short sales positions may involve either “covered” short sales or “naked” short sales.</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shares through the option to purchase additional ordinary shares.</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Naked” short sales are sales in excess of the option to purchase additional ordinary shares.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stabilizing bid is a bid for the purchase of ordinary shares on behalf of the underwriters for the purpose of fixing or maintaining the price of our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may also engage in passive market making transactions in our ordinary shares on The Nasdaq Capital Market in accordance with Rule 103 of Regulation M during a period before the commencement of offers or sales of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lineRule="auto" w:line="240" w:before="0" w:after="200"/>
        <w:jc w:val="left"/>
        <w:rPr>
          <w:rFonts w:ascii="Times New Roman;serif" w:hAnsi="Times New Roman;serif"/>
          <w:b/>
          <w:color w:val="000000"/>
          <w:sz w:val="20"/>
        </w:rPr>
      </w:pPr>
      <w:bookmarkStart w:id="67" w:name="i80269ce512094b11bfb9aabed429a48d"/>
      <w:bookmarkEnd w:id="67"/>
      <w:r>
        <w:rPr>
          <w:rFonts w:ascii="Times New Roman;serif" w:hAnsi="Times New Roman;serif"/>
          <w:b/>
          <w:color w:val="000000"/>
          <w:sz w:val="20"/>
        </w:rPr>
        <w:t>Electronic Distribution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prospectus supplement in electronic format may be made available by e-mail or on the web sites or through online services maintained by one or more of the underwriters or their respective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this prospectus supplement and the accompanying prospectus in electronic format, the information on the underwriters’ web sites and any information contained in any other web site maintained by any of the underwriters is not part of this prospectus supplement or the accompanying prospectus, has not been approved and/or endorsed by us or the underwriters and should not be relied upon by investors.</w:t>
      </w:r>
    </w:p>
    <w:p>
      <w:pPr>
        <w:pStyle w:val="TextBody"/>
        <w:bidi w:val="0"/>
        <w:spacing w:lineRule="auto" w:line="240" w:before="0" w:after="200"/>
        <w:jc w:val="left"/>
        <w:rPr>
          <w:rFonts w:ascii="Times New Roman;serif" w:hAnsi="Times New Roman;serif"/>
          <w:b/>
          <w:color w:val="000000"/>
          <w:sz w:val="20"/>
        </w:rPr>
      </w:pPr>
      <w:bookmarkStart w:id="68" w:name="i89b5f272b50543428720cb02968297f9"/>
      <w:bookmarkEnd w:id="68"/>
      <w:r>
        <w:rPr>
          <w:rFonts w:ascii="Times New Roman;serif" w:hAnsi="Times New Roman;serif"/>
          <w:b/>
          <w:color w:val="000000"/>
          <w:sz w:val="20"/>
        </w:rPr>
        <w:t>Other Activities and Relationships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For example, on July 1, 2026, we entered into the Sales Agreement with Jefferies LLC pursuant to which we may offer and sell our ordinary shares from time to time through Jefferies LLC acting as our sales agent.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lineRule="auto" w:line="240" w:before="0" w:after="200"/>
        <w:jc w:val="left"/>
        <w:rPr>
          <w:rFonts w:ascii="Times New Roman;serif" w:hAnsi="Times New Roman;serif"/>
          <w:b/>
          <w:color w:val="000000"/>
          <w:sz w:val="20"/>
        </w:rPr>
      </w:pPr>
      <w:bookmarkStart w:id="69" w:name="i6a4af3b4870745e281edf545fe521d79"/>
      <w:bookmarkEnd w:id="69"/>
      <w:r>
        <w:rPr>
          <w:rFonts w:ascii="Times New Roman;serif" w:hAnsi="Times New Roman;serif"/>
          <w:b/>
          <w:color w:val="000000"/>
          <w:sz w:val="20"/>
        </w:rPr>
        <w:t>Disclaimers About Non-U.S. Jurisdictions</w:t>
      </w:r>
    </w:p>
    <w:p>
      <w:pPr>
        <w:pStyle w:val="TextBody"/>
        <w:bidi w:val="0"/>
        <w:spacing w:lineRule="auto" w:line="240" w:before="0" w:after="200"/>
        <w:jc w:val="left"/>
        <w:rPr>
          <w:rFonts w:ascii="Times New Roman;serif" w:hAnsi="Times New Roman;serif"/>
          <w:b/>
          <w:i/>
          <w:color w:val="000000"/>
          <w:sz w:val="20"/>
        </w:rPr>
      </w:pPr>
      <w:bookmarkStart w:id="70" w:name="if46383995138436d8c71848ca04dbea1"/>
      <w:bookmarkEnd w:id="70"/>
      <w:r>
        <w:rPr>
          <w:rFonts w:ascii="Times New Roman;serif" w:hAnsi="Times New Roman;serif"/>
          <w:b/>
          <w:i/>
          <w:color w:val="000000"/>
          <w:sz w:val="20"/>
        </w:rPr>
        <w:t>European Economic Area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w:t>
      </w:r>
    </w:p>
    <w:p>
      <w:pPr>
        <w:pStyle w:val="TextBody"/>
        <w:bidi w:val="0"/>
        <w:spacing w:lineRule="auto" w:line="240"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(i)to any legal entity which is a qualified investor as defined under Article 2 of the Prospectus Regulation;</w:t>
      </w:r>
    </w:p>
    <w:p>
      <w:pPr>
        <w:pStyle w:val="TextBody"/>
        <w:bidi w:val="0"/>
        <w:spacing w:lineRule="auto" w:line="240"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(ii)to fewer than 150 natural or legal persons (other than qualified investors as defined under Article 2 of the Prospectus Regulation), subject to obtaining the prior consent of the representative for any such offer; or</w:t>
      </w:r>
    </w:p>
    <w:p>
      <w:pPr>
        <w:pStyle w:val="TextBody"/>
        <w:bidi w:val="0"/>
        <w:spacing w:lineRule="auto" w:line="240"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(iii)in any other circumstances falling within Article 1(4) of the Prospectus Regulation,</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provided that no such offer of the securities shall require us or the representative to publish a prospectus pursuant to Article 3 of the Prospectus Regulation or supplement a prospectus pursuant to Article 23 of the Prospectus Regulation.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pStyle w:val="TextBody"/>
        <w:bidi w:val="0"/>
        <w:spacing w:lineRule="auto" w:line="240" w:before="0" w:after="200"/>
        <w:jc w:val="left"/>
        <w:rPr>
          <w:rFonts w:ascii="Times New Roman;serif" w:hAnsi="Times New Roman;serif"/>
          <w:b/>
          <w:i/>
          <w:color w:val="000000"/>
          <w:sz w:val="20"/>
        </w:rPr>
      </w:pPr>
      <w:bookmarkStart w:id="71" w:name="i02c0fdacff884c549da73149935d2101"/>
      <w:bookmarkEnd w:id="71"/>
      <w:r>
        <w:rPr>
          <w:rFonts w:ascii="Times New Roman;serif" w:hAnsi="Times New Roman;serif"/>
          <w:b/>
          <w:i/>
          <w:color w:val="000000"/>
          <w:sz w:val="20"/>
        </w:rPr>
        <w:t>United Kingdom</w:t>
      </w:r>
    </w:p>
    <w:p>
      <w:pPr>
        <w:pStyle w:val="TextBody"/>
        <w:bidi w:val="0"/>
        <w:spacing w:lineRule="auto" w:line="240"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No securities have been offered or will be offered pursuant to the offering to the public in the United Kingdom except that the securities may be offered to the public in the United Kingdom at any time: </w:t>
      </w:r>
    </w:p>
    <w:p>
      <w:pPr>
        <w:pStyle w:val="TextBody"/>
        <w:bidi w:val="0"/>
        <w:spacing w:lineRule="auto" w:line="240" w:before="200" w:after="20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p>
      <w:pPr>
        <w:pStyle w:val="TextBody"/>
        <w:bidi w:val="0"/>
        <w:spacing w:lineRule="auto" w:line="240" w:before="200" w:after="20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to any “qualified investor” as defined in paragraph 15 of Schedule 1 of the POATR; </w:t>
      </w:r>
    </w:p>
    <w:p>
      <w:pPr>
        <w:pStyle w:val="TextBody"/>
        <w:bidi w:val="0"/>
        <w:spacing w:lineRule="auto" w:line="240" w:before="200" w:after="20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to fewer than 150 persons (other than qualified investors as defined in paragraph 15 of Schedule 1 of the POATR), subject to obtaining the prior consent of the underwriters for any such offer; or</w:t>
      </w:r>
    </w:p>
    <w:p>
      <w:pPr>
        <w:pStyle w:val="TextBody"/>
        <w:bidi w:val="0"/>
        <w:spacing w:lineRule="auto" w:line="240" w:before="200" w:after="20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in any other circumstances falling within Part 1 of Schedule 1 of the POATR.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falling within (1) - (3) together being referred to as “relevant persons”). The securities are only available to, and any invitation, offer or agreement to subscribe, purchase or otherwise acquire the securities will be engaged in only with, relevant persons. Any person who is not a relevant person should not act or rely on this prospectus supplement or any of its contents.</w:t>
      </w:r>
    </w:p>
    <w:p>
      <w:pPr>
        <w:pStyle w:val="TextBody"/>
        <w:bidi w:val="0"/>
        <w:spacing w:lineRule="auto" w:line="240" w:before="0" w:after="200"/>
        <w:jc w:val="left"/>
        <w:rPr>
          <w:rFonts w:ascii="Times New Roman;serif" w:hAnsi="Times New Roman;serif"/>
          <w:b/>
          <w:i/>
          <w:color w:val="000000"/>
          <w:sz w:val="20"/>
        </w:rPr>
      </w:pPr>
      <w:bookmarkStart w:id="72" w:name="i5de977e5854c41a6a954f9c64c016973"/>
      <w:bookmarkEnd w:id="72"/>
      <w:r>
        <w:rPr>
          <w:rFonts w:ascii="Times New Roman;serif" w:hAnsi="Times New Roman;serif"/>
          <w:b/>
          <w:i/>
          <w:color w:val="000000"/>
          <w:sz w:val="20"/>
        </w:rPr>
        <w:t>Canada</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 Resale Restrictions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 Representations of Canadian Purchasers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By purchasing securities in Canada and accepting delivery of a purchase confirmation, a purchaser is representing to us and the dealer from whom the purchase confirmation is received that: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Securities Act (Ontario), as applicable,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purchaser is a “permitted client” as defined in National Instrument 31-103 - Registration Requirements, Exemptions and Ongoing Registrant Obligations,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where required by law, the purchaser is purchasing as principal and not as agent,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the purchaser has reviewed the text above under Resale Restrictions.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 Conflicts of Interest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Canadian purchasers are hereby notified that certain of the underwriters are relying on the exemption set out in section 3A.3 or 3A.4, if applicable, of National Instrument 33-105 - Underwriting Conflicts from having to provide certain conflict of interest disclosure in this prospectus supplement.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 Statutory Rights of Action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legislation in certain provinces or territories of Canada may provide a purchaser with remedies for rescission or damages if the prospectus (including any amendment thereto) such as this prospectus supplement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 Enforcement of Legal Rights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 Taxation and Eligibility for Investment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 Language of Documents</w:t>
      </w:r>
    </w:p>
    <w:p>
      <w:pPr>
        <w:pStyle w:val="TextBody"/>
        <w:bidi w:val="0"/>
        <w:spacing w:lineRule="auto" w:line="288" w:before="0" w:after="200"/>
        <w:jc w:val="left"/>
        <w:rPr/>
      </w:pPr>
      <w:r>
        <w:rPr>
          <w:rFonts w:ascii="Times New Roman;serif" w:hAnsi="Times New Roman;serif"/>
          <w:b w:val="false"/>
          <w:color w:val="000000"/>
          <w:sz w:val="20"/>
        </w:rPr>
        <w:t xml:space="preserve">The purchaser confirms its express wish and that it has requested that this document, all documents evidencing or relating to the sale of the securities described herein and all other related documents be drawn up exclusively in the English language. </w:t>
      </w:r>
      <w:r>
        <w:rPr>
          <w:rFonts w:ascii="Times New Roman;serif" w:hAnsi="Times New Roman;serif"/>
          <w:b w:val="false"/>
          <w:i/>
          <w:color w:val="000000"/>
          <w:sz w:val="20"/>
        </w:rPr>
        <w:t>L’acquéreur confirme sa volonté expresse et qu’il a demandé que le présent document, tous les documents attestant de la vente des titres décrits dans le présent document ou s’y rapportant ainsi que tous les autres documents s’y rattachant soient rédigés exclusivement en langue anglaise.</w:t>
      </w:r>
    </w:p>
    <w:p>
      <w:pPr>
        <w:pStyle w:val="TextBody"/>
        <w:bidi w:val="0"/>
        <w:spacing w:lineRule="auto" w:line="240" w:before="0" w:after="200"/>
        <w:jc w:val="left"/>
        <w:rPr>
          <w:rFonts w:ascii="Times New Roman;serif" w:hAnsi="Times New Roman;serif"/>
          <w:b/>
          <w:i/>
          <w:color w:val="000000"/>
          <w:sz w:val="20"/>
        </w:rPr>
      </w:pPr>
      <w:bookmarkStart w:id="73" w:name="i866a68c32d1b4b86b0031e114e23cedf"/>
      <w:bookmarkEnd w:id="73"/>
      <w:r>
        <w:rPr>
          <w:rFonts w:ascii="Times New Roman;serif" w:hAnsi="Times New Roman;serif"/>
          <w:b/>
          <w:i/>
          <w:color w:val="000000"/>
          <w:sz w:val="20"/>
        </w:rPr>
        <w:t>Australia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supplement in Australia: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confirm and warrant that you are either:</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“sophisticated investor” under section 708(8)(a) or (b) of the Corporations Act;</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person associated with us under Section 708(12) of the Corporations Act;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“professional investor” within the meaning of section 708(11)(a) or (b) of the Corporations Act.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pStyle w:val="TextBody"/>
        <w:bidi w:val="0"/>
        <w:spacing w:lineRule="auto" w:line="240" w:before="0" w:after="200"/>
        <w:jc w:val="left"/>
        <w:rPr>
          <w:rFonts w:ascii="Times New Roman;serif" w:hAnsi="Times New Roman;serif"/>
          <w:b/>
          <w:i/>
          <w:color w:val="000000"/>
          <w:sz w:val="20"/>
        </w:rPr>
      </w:pPr>
      <w:bookmarkStart w:id="74" w:name="i6f97783d22984a8a97f297148a06897a"/>
      <w:bookmarkEnd w:id="74"/>
      <w:r>
        <w:rPr>
          <w:rFonts w:ascii="Times New Roman;serif" w:hAnsi="Times New Roman;serif"/>
          <w:b/>
          <w:i/>
          <w:color w:val="000000"/>
          <w:sz w:val="20"/>
        </w:rPr>
        <w:t>Hong Kong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pStyle w:val="TextBody"/>
        <w:bidi w:val="0"/>
        <w:spacing w:lineRule="auto" w:line="240" w:before="0" w:after="200"/>
        <w:jc w:val="left"/>
        <w:rPr>
          <w:rFonts w:ascii="Times New Roman;serif" w:hAnsi="Times New Roman;serif"/>
          <w:b/>
          <w:i/>
          <w:color w:val="000000"/>
          <w:sz w:val="20"/>
        </w:rPr>
      </w:pPr>
      <w:bookmarkStart w:id="75" w:name="ie7f5f60ebc1047f09a16a3d2a991ab8f"/>
      <w:bookmarkEnd w:id="75"/>
      <w:r>
        <w:rPr>
          <w:rFonts w:ascii="Times New Roman;serif" w:hAnsi="Times New Roman;serif"/>
          <w:b/>
          <w:i/>
          <w:color w:val="000000"/>
          <w:sz w:val="20"/>
        </w:rPr>
        <w:t>Israel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Israel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Israel Addendum (as it may be amended from time to time), collectively referred to as qualified investors (in each case, purchasing for their own account or, where permitted under the Israel Addendum, for the accounts of their clients who are investors listed in the Israel Addendum). Qualified investors are required to submit written confirmation that they fall within the scope of the Israel Addendum, are aware of the meaning of same and agree to it.</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lineRule="auto" w:line="240" w:before="0" w:after="200"/>
        <w:jc w:val="left"/>
        <w:rPr>
          <w:rFonts w:ascii="Times New Roman;serif" w:hAnsi="Times New Roman;serif"/>
          <w:b/>
          <w:i/>
          <w:color w:val="000000"/>
          <w:sz w:val="20"/>
        </w:rPr>
      </w:pPr>
      <w:bookmarkStart w:id="76" w:name="i8e92f556e11c419aa33d049a0a33bcfe"/>
      <w:bookmarkEnd w:id="76"/>
      <w:r>
        <w:rPr>
          <w:rFonts w:ascii="Times New Roman;serif" w:hAnsi="Times New Roman;serif"/>
          <w:b/>
          <w:i/>
          <w:color w:val="000000"/>
          <w:sz w:val="20"/>
        </w:rPr>
        <w:t>Japan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pStyle w:val="TextBody"/>
        <w:bidi w:val="0"/>
        <w:spacing w:lineRule="auto" w:line="240" w:before="0" w:after="200"/>
        <w:jc w:val="left"/>
        <w:rPr>
          <w:rFonts w:ascii="Times New Roman;serif" w:hAnsi="Times New Roman;serif"/>
          <w:b/>
          <w:i/>
          <w:color w:val="000000"/>
          <w:sz w:val="20"/>
        </w:rPr>
      </w:pPr>
      <w:bookmarkStart w:id="77" w:name="id0a3a761cfb34d61b50c38cd543f26ac"/>
      <w:bookmarkEnd w:id="77"/>
      <w:r>
        <w:rPr>
          <w:rFonts w:ascii="Times New Roman;serif" w:hAnsi="Times New Roman;serif"/>
          <w:b/>
          <w:i/>
          <w:color w:val="000000"/>
          <w:sz w:val="20"/>
        </w:rPr>
        <w:t>Singapore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Where the securities are subscribed or purchased under Section 275 of the SFA by a relevant person which is:</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 trust (where the trustee is not an accredited investor) whose sole purpose is to hold investments and each beneficiary of the trust is an individual who is an accredited investor,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to an institutional investor or to a relevant person defined in Section 275(2) of the SFA, or to any person arising from an offer referred to in Section 275(1A) or Section 276(4)(i)(B) of the SFA;</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where no consideration is or will be given for the transfer;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where the transfer is by operation of law;</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as specified in Section 276(7) of the SFA; or</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as specified in Regulation 32 of the Securities and Futures (Offers of Investments) (Shares and Debentures) Regulations 2005 of Singapore.</w:t>
      </w:r>
    </w:p>
    <w:p>
      <w:pPr>
        <w:pStyle w:val="TextBody"/>
        <w:bidi w:val="0"/>
        <w:spacing w:lineRule="auto" w:line="240" w:before="0" w:after="200"/>
        <w:jc w:val="left"/>
        <w:rPr>
          <w:rFonts w:ascii="Times New Roman;serif" w:hAnsi="Times New Roman;serif"/>
          <w:b/>
          <w:i/>
          <w:color w:val="000000"/>
          <w:sz w:val="20"/>
        </w:rPr>
      </w:pPr>
      <w:bookmarkStart w:id="78" w:name="i25949095cf60408a9a9bf932969571c1"/>
      <w:bookmarkEnd w:id="78"/>
      <w:r>
        <w:rPr>
          <w:rFonts w:ascii="Times New Roman;serif" w:hAnsi="Times New Roman;serif"/>
          <w:b/>
          <w:i/>
          <w:color w:val="000000"/>
          <w:sz w:val="20"/>
        </w:rPr>
        <w:t>Switzerland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securities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Neither this prospectus supplement nor any other offering or marketing material relating to the offering, us or the securities have been or will be filed with or approved by any Swiss regulatory authority. In particular, this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prospectus supplement will not be filed with, and the offer of the securities will not be supervised by, the Swiss Financial Market Supervisory Authority (FINMA), and the offer of the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4"/>
        </w:rPr>
      </w:pPr>
      <w:bookmarkStart w:id="79" w:name="ibff2ca6fa9e742dc870574ebb048b32f"/>
      <w:bookmarkEnd w:id="79"/>
      <w:r>
        <w:rPr>
          <w:rFonts w:ascii="Times New Roman;serif" w:hAnsi="Times New Roman;serif"/>
          <w:b/>
          <w:color w:val="000000"/>
          <w:sz w:val="24"/>
        </w:rPr>
        <w:t>LEGAL MATTERS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validity of the ordinary shares offered by this prospectus supplement will be passed upon for us by Walkers (Cayman) LLP. The validity of the pre-funded warrants offered by this prospectus supplement will be passed upon for us by Latham &amp; Watkins LLP. Cooley LLP, New York, New York, is acting as counsel for the underwriters in connection with this offering.</w:t>
      </w:r>
    </w:p>
    <w:p>
      <w:pPr>
        <w:pStyle w:val="TextBody"/>
        <w:bidi w:val="0"/>
        <w:spacing w:lineRule="auto" w:line="240" w:before="0" w:after="200"/>
        <w:jc w:val="center"/>
        <w:rPr>
          <w:rFonts w:ascii="Times New Roman;serif" w:hAnsi="Times New Roman;serif"/>
          <w:b/>
          <w:color w:val="000000"/>
          <w:sz w:val="24"/>
        </w:rPr>
      </w:pPr>
      <w:bookmarkStart w:id="80" w:name="iff67ed37dad34da9b64a9707bfdba872"/>
      <w:bookmarkEnd w:id="80"/>
      <w:r>
        <w:rPr>
          <w:rFonts w:ascii="Times New Roman;serif" w:hAnsi="Times New Roman;serif"/>
          <w:b/>
          <w:color w:val="000000"/>
          <w:sz w:val="24"/>
        </w:rPr>
        <w:t>EXPERTS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4"/>
        </w:rPr>
      </w:pPr>
      <w:bookmarkStart w:id="81" w:name="id486aac48e2e45e2b3390c4cb185e35a"/>
      <w:bookmarkEnd w:id="81"/>
      <w:r>
        <w:rPr>
          <w:rFonts w:ascii="Times New Roman;serif" w:hAnsi="Times New Roman;serif"/>
          <w:b/>
          <w:color w:val="000000"/>
          <w:sz w:val="24"/>
        </w:rPr>
        <w:t>WHERE YOU CAN FIND MORE INFORMATION; INCORPORATION BY REFERENCE</w:t>
      </w:r>
    </w:p>
    <w:p>
      <w:pPr>
        <w:pStyle w:val="TextBody"/>
        <w:bidi w:val="0"/>
        <w:spacing w:lineRule="auto" w:line="240" w:before="0" w:after="200"/>
        <w:jc w:val="left"/>
        <w:rPr>
          <w:rFonts w:ascii="Times New Roman;serif" w:hAnsi="Times New Roman;serif"/>
          <w:b/>
          <w:color w:val="000000"/>
          <w:sz w:val="20"/>
        </w:rPr>
      </w:pPr>
      <w:bookmarkStart w:id="82" w:name="i3093aad20a824c9b8bf34ae978d378e9"/>
      <w:bookmarkEnd w:id="82"/>
      <w:r>
        <w:rPr>
          <w:rFonts w:ascii="Times New Roman;serif" w:hAnsi="Times New Roman;serif"/>
          <w:b/>
          <w:color w:val="000000"/>
          <w:sz w:val="20"/>
        </w:rPr>
        <w:t>Available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S-3 under the Securities Act, of which this prospectus supplement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website address is www.crescentbiopharma.com. The information on, or accessible through, our website is not part of, and is not incorporated into, this prospectus supplement or the accompanying prospectus and should not be considered part of this prospectus supplement or the accompanying prospectus.</w:t>
      </w:r>
    </w:p>
    <w:p>
      <w:pPr>
        <w:pStyle w:val="TextBody"/>
        <w:bidi w:val="0"/>
        <w:spacing w:lineRule="auto" w:line="240" w:before="0" w:after="200"/>
        <w:jc w:val="left"/>
        <w:rPr>
          <w:rFonts w:ascii="Times New Roman;serif" w:hAnsi="Times New Roman;serif"/>
          <w:b/>
          <w:color w:val="000000"/>
          <w:sz w:val="20"/>
        </w:rPr>
      </w:pPr>
      <w:bookmarkStart w:id="83" w:name="i616503f294c340b68f3814ccb33c594b"/>
      <w:bookmarkEnd w:id="83"/>
      <w:r>
        <w:rPr>
          <w:rFonts w:ascii="Times New Roman;serif" w:hAnsi="Times New Roman;serif"/>
          <w:b/>
          <w:color w:val="000000"/>
          <w:sz w:val="20"/>
        </w:rPr>
        <w:t>Incorporation by Reference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and the accompanying prospectus to the extent that a statement contained in this prospectus supplement, the accompanying prospectus, or a subsequently filed document incorporated by reference modifies or replaces that statement.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incorporate by reference the documents set forth below that have previously been filed with the SEC (except for information in these documents or filings that is deemed “furnished” and not “filed” in accordance with the SEC rules, including pursuant to Item 2.02 or 7.01 of Form 8-K, or corresponding information furnished under Item 9.01 as an exhibit, and no such information shall be deemed specifically incorporated by reference herein or in any accompanying prospectus supplement): </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231F20"/>
        </w:rPr>
        <w:t xml:space="preserve"> </w:t>
      </w:r>
      <w:r>
        <w:rPr>
          <w:rFonts w:ascii="Times New Roman;serif" w:hAnsi="Times New Roman;serif"/>
          <w:b w:val="false"/>
          <w:color w:val="231F20"/>
          <w:sz w:val="20"/>
        </w:rPr>
        <w:t>for the year ended December 31, 2025, filed with the SEC on February 26,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our Quarterly Report on </w:t>
      </w:r>
      <w:hyperlink r:id="rId4">
        <w:r>
          <w:rPr>
            <w:rStyle w:val="InternetLink"/>
            <w:rFonts w:ascii="Times New Roman;serif" w:hAnsi="Times New Roman;serif"/>
            <w:b w:val="false"/>
            <w:color w:val="0000FF"/>
            <w:sz w:val="20"/>
            <w:u w:val="single"/>
          </w:rPr>
          <w:t>Form 10-Q</w:t>
        </w:r>
      </w:hyperlink>
      <w:r>
        <w:rPr>
          <w:color w:val="231F20"/>
        </w:rPr>
        <w:t> </w:t>
      </w:r>
      <w:r>
        <w:rPr>
          <w:rFonts w:ascii="Times New Roman;serif" w:hAnsi="Times New Roman;serif"/>
          <w:b w:val="false"/>
          <w:color w:val="231F20"/>
          <w:sz w:val="20"/>
        </w:rPr>
        <w:t>for the quarter ended March 31, 2026, filed with the SEC on April 29, 2026, as amended by </w:t>
      </w:r>
      <w:hyperlink r:id="rId5">
        <w:r>
          <w:rPr>
            <w:rStyle w:val="InternetLink"/>
            <w:rFonts w:ascii="Times New Roman;serif" w:hAnsi="Times New Roman;serif"/>
            <w:b w:val="false"/>
            <w:color w:val="0000FF"/>
            <w:sz w:val="20"/>
            <w:u w:val="single"/>
          </w:rPr>
          <w:t>Amendment No. 1</w:t>
        </w:r>
      </w:hyperlink>
      <w:r>
        <w:rPr>
          <w:color w:val="231F20"/>
        </w:rPr>
        <w:t> </w:t>
      </w:r>
      <w:r>
        <w:rPr>
          <w:rFonts w:ascii="Times New Roman;serif" w:hAnsi="Times New Roman;serif"/>
          <w:b w:val="false"/>
          <w:color w:val="231F20"/>
          <w:sz w:val="20"/>
        </w:rPr>
        <w:t>to our Quarterly Report on Form 10-Q, filed with the SEC on June 22,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the information specifically incorporated by reference into our Annual Report on Form 10-K from our Definitive Proxy Statement on </w:t>
      </w:r>
      <w:hyperlink r:id="rId6">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231F20"/>
          <w:sz w:val="20"/>
        </w:rPr>
        <w:t>, filed with the SEC on April 21,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our Current Report on </w:t>
      </w:r>
      <w:hyperlink r:id="rId7">
        <w:r>
          <w:rPr>
            <w:rStyle w:val="InternetLink"/>
            <w:rFonts w:ascii="Times New Roman;serif" w:hAnsi="Times New Roman;serif"/>
            <w:b w:val="false"/>
            <w:color w:val="0000FF"/>
            <w:sz w:val="20"/>
            <w:u w:val="single"/>
          </w:rPr>
          <w:t>Form 8-K</w:t>
        </w:r>
      </w:hyperlink>
      <w:r>
        <w:rPr>
          <w:rFonts w:ascii="Times New Roman;serif" w:hAnsi="Times New Roman;serif"/>
          <w:b w:val="false"/>
          <w:color w:val="231F20"/>
          <w:sz w:val="20"/>
        </w:rPr>
        <w:t>, filed with the SEC on June 3, 2026;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the description of our securities contained in our registration statement on </w:t>
      </w:r>
      <w:hyperlink r:id="rId8">
        <w:r>
          <w:rPr>
            <w:rStyle w:val="InternetLink"/>
            <w:rFonts w:ascii="Times New Roman;serif" w:hAnsi="Times New Roman;serif"/>
            <w:b w:val="false"/>
            <w:color w:val="0000FF"/>
            <w:sz w:val="20"/>
            <w:u w:val="single"/>
          </w:rPr>
          <w:t>Form 8A12B/A</w:t>
        </w:r>
      </w:hyperlink>
      <w:r>
        <w:rPr>
          <w:rFonts w:ascii="Times New Roman;serif" w:hAnsi="Times New Roman;serif"/>
          <w:b w:val="false"/>
          <w:color w:val="231F20"/>
          <w:sz w:val="20"/>
        </w:rPr>
        <w:t xml:space="preserve">, filed with the SEC on November 6, 2025, including any amendment or report filed with the SEC for the purpose of updating the description, including </w:t>
      </w:r>
      <w:hyperlink r:id="rId9">
        <w:r>
          <w:rPr>
            <w:rStyle w:val="InternetLink"/>
            <w:rFonts w:ascii="Times New Roman;serif" w:hAnsi="Times New Roman;serif"/>
            <w:b w:val="false"/>
            <w:color w:val="0000FF"/>
            <w:sz w:val="20"/>
            <w:u w:val="single"/>
          </w:rPr>
          <w:t>Exhibit 4.3</w:t>
        </w:r>
      </w:hyperlink>
      <w:r>
        <w:rPr>
          <w:color w:val="231F20"/>
        </w:rPr>
        <w:t xml:space="preserve"> </w:t>
      </w:r>
      <w:r>
        <w:rPr>
          <w:rFonts w:ascii="Times New Roman;serif" w:hAnsi="Times New Roman;serif"/>
          <w:b w:val="false"/>
          <w:color w:val="231F20"/>
          <w:sz w:val="20"/>
        </w:rPr>
        <w:t>to our Annual Report on Form 10-K for the year ended December 31, 2025, filed with the SEC on February 26, 2026.</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we subsequently file pursuant to Section 13(a), 13(c), 14 or 15(d) of the Exchange Act prior to the termination of this offering,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You may request a free copy of any of the documents incorporated by reference in this prospectus supplement and the accompanying prospectus (other than exhibits, unless they are specifically incorporated by reference in the documents) by writing or telephoning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Crescent Biopharma,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300 Fifth Avenue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Waltham, MA 02451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(617) 430-5595</w:t>
      </w:r>
    </w:p>
    <w:p>
      <w:pPr>
        <w:pStyle w:val="TextBody"/>
        <w:bidi w:val="0"/>
        <w:spacing w:before="0" w:after="0"/>
        <w:jc w:val="center"/>
        <w:rPr/>
      </w:pPr>
      <w:r>
        <w:rPr/>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supplement or the accompanying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84" w:name="i2deb6b5d0b4345dfa57a9fef1ca7de47"/>
      <w:bookmarkEnd w:id="84"/>
      <w:r>
        <w:rPr>
          <w:rFonts w:ascii="Times New Roman;serif" w:hAnsi="Times New Roman;serif"/>
          <w:b/>
          <w:color w:val="000000"/>
          <w:sz w:val="20"/>
        </w:rPr>
        <w:t xml:space="preserve">PROSPECTUS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drawing>
          <wp:inline distT="0" distB="0" distL="0" distR="0">
            <wp:extent cx="2019300" cy="74295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10"/>
                    <a:stretch>
                      <a:fillRect/>
                    </a:stretch>
                  </pic:blipFill>
                  <pic:spPr bwMode="auto">
                    <a:xfrm>
                      <a:off x="0" y="0"/>
                      <a:ext cx="2019300" cy="74295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$500,000,000 </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Ordinary Shares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Shares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Debt Securities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Warrants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and sell up to $500 million in the aggregate of the securities identified above from time to time in one or more offerings. This prospectus provides you with a general description of the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uto" w:line="288" w:before="240" w:after="283"/>
        <w:ind w:left="0" w:right="0" w:firstLine="490"/>
        <w:jc w:val="left"/>
        <w:rPr/>
      </w:pPr>
      <w:r>
        <w:rPr>
          <w:rFonts w:ascii="Times New Roman;serif" w:hAnsi="Times New Roman;serif"/>
          <w:b/>
          <w:color w:val="000000"/>
          <w:sz w:val="22"/>
        </w:rPr>
        <w:t xml:space="preserve">INVESTING IN OUR SECURITIES INVOLVES RISKS. SEE THE “RISK FACTORS” ON PAGE </w:t>
      </w:r>
      <w:hyperlink w:anchor="ia4e27873938b4bdabc44ac1e6d93c8ea_37">
        <w:r>
          <w:rPr>
            <w:rStyle w:val="InternetLink"/>
            <w:rFonts w:ascii="Times New Roman;serif" w:hAnsi="Times New Roman;serif"/>
            <w:b/>
            <w:color w:val="0000FF"/>
            <w:sz w:val="22"/>
            <w:u w:val="single"/>
          </w:rPr>
          <w:t>6</w:t>
        </w:r>
      </w:hyperlink>
      <w:r>
        <w:rPr>
          <w:color w:val="000000"/>
        </w:rPr>
        <w:t xml:space="preserve"> </w:t>
      </w:r>
      <w:r>
        <w:rPr>
          <w:rFonts w:ascii="Times New Roman;serif" w:hAnsi="Times New Roman;serif"/>
          <w:b/>
          <w:color w:val="000000"/>
          <w:sz w:val="22"/>
        </w:rPr>
        <w:t xml:space="preserve">OF THIS PROSPECTUS AND ANY SIMILAR SECTION CONTAINED IN THE APPLICABLE PROSPECTUS SUPPLEMENT CONCERNING FACTORS YOU SHOULD CONSIDER BEFORE INVESTING IN OUR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ordinary shares are listed on the Nasdaq Capital Market under the symbol “CBIO.” On June 30, 2026, the last reported sale price of our ordinary shares on the Nasdaq Capital Market was $18.00 per share. </w:t>
      </w:r>
    </w:p>
    <w:p>
      <w:pPr>
        <w:pStyle w:val="TextBody"/>
        <w:bidi w:val="0"/>
        <w:spacing w:lineRule="auto" w:line="288" w:before="240" w:after="283"/>
        <w:ind w:left="0" w:right="0" w:firstLine="49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date of this prospectus is July 10, 2026.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drawing>
          <wp:inline distT="0" distB="0" distL="0" distR="0">
            <wp:extent cx="5943600" cy="28575"/>
            <wp:effectExtent l="0" t="0" r="0" b="0"/>
            <wp:docPr id="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 descr=""/>
                    <pic:cNvPicPr>
                      <a:picLocks noChangeAspect="1" noChangeArrowheads="1"/>
                    </pic:cNvPicPr>
                  </pic:nvPicPr>
                  <pic:blipFill>
                    <a:blip r:embed="rId11"/>
                    <a:stretch>
                      <a:fillRect/>
                    </a:stretch>
                  </pic:blipFill>
                  <pic:spPr bwMode="auto">
                    <a:xfrm>
                      <a:off x="0" y="0"/>
                      <a:ext cx="5943600" cy="285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635" w:type="dxa"/>
        <w:jc w:val="left"/>
        <w:tblInd w:w="0" w:type="dxa"/>
        <w:tblLayout w:type="fixed"/>
        <w:tblCellMar>
          <w:top w:w="28" w:type="dxa"/>
          <w:left w:w="28" w:type="dxa"/>
          <w:bottom w:w="28" w:type="dxa"/>
          <w:right w:w="28" w:type="dxa"/>
        </w:tblCellMar>
      </w:tblPr>
      <w:tblGrid>
        <w:gridCol w:w="3117"/>
        <w:gridCol w:w="2739"/>
        <w:gridCol w:w="2753"/>
        <w:gridCol w:w="109"/>
        <w:gridCol w:w="109"/>
        <w:gridCol w:w="109"/>
        <w:gridCol w:w="109"/>
        <w:gridCol w:w="109"/>
        <w:gridCol w:w="109"/>
        <w:gridCol w:w="109"/>
        <w:gridCol w:w="109"/>
        <w:gridCol w:w="154"/>
      </w:tblGrid>
      <w:tr>
        <w:trPr/>
        <w:tc>
          <w:tcPr>
            <w:tcW w:w="3117"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25">
              <w:r>
                <w:rPr>
                  <w:rStyle w:val="InternetLink"/>
                  <w:rFonts w:ascii="Times New Roman;serif" w:hAnsi="Times New Roman;serif"/>
                  <w:b w:val="false"/>
                  <w:color w:val="0000EE"/>
                  <w:sz w:val="22"/>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25">
              <w:r>
                <w:rPr>
                  <w:rStyle w:val="InternetLink"/>
                  <w:rFonts w:ascii="Times New Roman;serif" w:hAnsi="Times New Roman;serif"/>
                  <w:b w:val="false"/>
                  <w:color w:val="000000"/>
                  <w:sz w:val="20"/>
                  <w:u w:val="single"/>
                </w:rPr>
                <w:t>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28">
              <w:r>
                <w:rPr>
                  <w:rStyle w:val="InternetLink"/>
                  <w:rFonts w:ascii="Times New Roman;serif" w:hAnsi="Times New Roman;serif"/>
                  <w:b w:val="false"/>
                  <w:color w:val="0000EE"/>
                  <w:sz w:val="22"/>
                  <w:u w:val="single"/>
                </w:rPr>
                <w:t>CAUTIONARY STATEMENT CONCERNING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28">
              <w:r>
                <w:rPr>
                  <w:rStyle w:val="InternetLink"/>
                  <w:rFonts w:ascii="Times New Roman;serif" w:hAnsi="Times New Roman;serif"/>
                  <w:b w:val="false"/>
                  <w:color w:val="000000"/>
                  <w:sz w:val="20"/>
                  <w:u w:val="single"/>
                </w:rPr>
                <w:t>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31">
              <w:r>
                <w:rPr>
                  <w:rStyle w:val="InternetLink"/>
                  <w:rFonts w:ascii="Times New Roman;serif" w:hAnsi="Times New Roman;serif"/>
                  <w:b w:val="false"/>
                  <w:color w:val="0000EE"/>
                  <w:sz w:val="22"/>
                  <w:u w:val="single"/>
                </w:rPr>
                <w:t>WHERE YOU CAN FIND MORE INFORMATION; INCORPORATION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31">
              <w:r>
                <w:rPr>
                  <w:rStyle w:val="InternetLink"/>
                  <w:rFonts w:ascii="Times New Roman;serif" w:hAnsi="Times New Roman;serif"/>
                  <w:b w:val="false"/>
                  <w:color w:val="000000"/>
                  <w:sz w:val="20"/>
                  <w:u w:val="single"/>
                </w:rPr>
                <w:t>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34">
              <w:r>
                <w:rPr>
                  <w:rStyle w:val="InternetLink"/>
                  <w:rFonts w:ascii="Times New Roman;serif" w:hAnsi="Times New Roman;serif"/>
                  <w:b w:val="false"/>
                  <w:color w:val="0000EE"/>
                  <w:sz w:val="22"/>
                  <w:u w:val="single"/>
                </w:rPr>
                <w:t>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34">
              <w:r>
                <w:rPr>
                  <w:rStyle w:val="InternetLink"/>
                  <w:rFonts w:ascii="Times New Roman;serif" w:hAnsi="Times New Roman;serif"/>
                  <w:b w:val="false"/>
                  <w:color w:val="000000"/>
                  <w:sz w:val="20"/>
                  <w:u w:val="single"/>
                </w:rPr>
                <w:t>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37">
              <w:r>
                <w:rPr>
                  <w:rStyle w:val="InternetLink"/>
                  <w:rFonts w:ascii="Times New Roman;serif" w:hAnsi="Times New Roman;serif"/>
                  <w:b w:val="false"/>
                  <w:color w:val="0000EE"/>
                  <w:sz w:val="22"/>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37">
              <w:r>
                <w:rPr>
                  <w:rStyle w:val="InternetLink"/>
                  <w:rFonts w:ascii="Times New Roman;serif" w:hAnsi="Times New Roman;serif"/>
                  <w:b w:val="false"/>
                  <w:color w:val="000000"/>
                  <w:sz w:val="20"/>
                  <w:u w:val="single"/>
                </w:rPr>
                <w:t>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40">
              <w:r>
                <w:rPr>
                  <w:rStyle w:val="InternetLink"/>
                  <w:rFonts w:ascii="Times New Roman;serif" w:hAnsi="Times New Roman;serif"/>
                  <w:b w:val="false"/>
                  <w:color w:val="0000FF"/>
                  <w:sz w:val="22"/>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40">
              <w:r>
                <w:rPr>
                  <w:rStyle w:val="InternetLink"/>
                  <w:rFonts w:ascii="Times New Roman;serif" w:hAnsi="Times New Roman;serif"/>
                  <w:b w:val="false"/>
                  <w:color w:val="000000"/>
                  <w:sz w:val="20"/>
                  <w:u w:val="single"/>
                </w:rPr>
                <w:t>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43">
              <w:r>
                <w:rPr>
                  <w:rStyle w:val="InternetLink"/>
                  <w:rFonts w:ascii="Times New Roman;serif" w:hAnsi="Times New Roman;serif"/>
                  <w:b w:val="false"/>
                  <w:color w:val="0000EE"/>
                  <w:sz w:val="22"/>
                  <w:u w:val="single"/>
                </w:rPr>
                <w:t>DIVIDEND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43">
              <w:r>
                <w:rPr>
                  <w:rStyle w:val="InternetLink"/>
                  <w:rFonts w:ascii="Times New Roman;serif" w:hAnsi="Times New Roman;serif"/>
                  <w:b w:val="false"/>
                  <w:color w:val="000000"/>
                  <w:sz w:val="20"/>
                  <w:u w:val="single"/>
                </w:rPr>
                <w:t>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46">
              <w:r>
                <w:rPr>
                  <w:rStyle w:val="InternetLink"/>
                  <w:rFonts w:ascii="Times New Roman;serif" w:hAnsi="Times New Roman;serif"/>
                  <w:b w:val="false"/>
                  <w:color w:val="0000FF"/>
                  <w:sz w:val="20"/>
                  <w:u w:val="single"/>
                </w:rPr>
                <w:t xml:space="preserve">DESCRIPTION OF SHARE CAPITAL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46">
              <w:r>
                <w:rPr>
                  <w:rStyle w:val="InternetLink"/>
                  <w:rFonts w:ascii="Times New Roman;serif" w:hAnsi="Times New Roman;serif"/>
                  <w:b w:val="false"/>
                  <w:color w:val="000000"/>
                  <w:sz w:val="20"/>
                  <w:u w:val="single"/>
                </w:rPr>
                <w:t>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49">
              <w:r>
                <w:rPr>
                  <w:rStyle w:val="InternetLink"/>
                  <w:rFonts w:ascii="Times New Roman;serif" w:hAnsi="Times New Roman;serif"/>
                  <w:b w:val="false"/>
                  <w:color w:val="0000EE"/>
                  <w:sz w:val="22"/>
                  <w:u w:val="single"/>
                </w:rPr>
                <w:t>DESCRIPTION OF DEBT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49">
              <w:r>
                <w:rPr>
                  <w:rStyle w:val="InternetLink"/>
                  <w:rFonts w:ascii="Times New Roman;serif" w:hAnsi="Times New Roman;serif"/>
                  <w:b w:val="false"/>
                  <w:color w:val="000000"/>
                  <w:sz w:val="20"/>
                  <w:u w:val="single"/>
                </w:rPr>
                <w:t>17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52">
              <w:r>
                <w:rPr>
                  <w:rStyle w:val="InternetLink"/>
                  <w:rFonts w:ascii="Times New Roman;serif" w:hAnsi="Times New Roman;serif"/>
                  <w:b w:val="false"/>
                  <w:color w:val="0000EE"/>
                  <w:sz w:val="22"/>
                  <w:u w:val="single"/>
                </w:rPr>
                <w:t>DESCRIPTION OF WARRANTS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52">
              <w:r>
                <w:rPr>
                  <w:rStyle w:val="InternetLink"/>
                  <w:rFonts w:ascii="Times New Roman;serif" w:hAnsi="Times New Roman;serif"/>
                  <w:b w:val="false"/>
                  <w:color w:val="000000"/>
                  <w:sz w:val="20"/>
                  <w:u w:val="single"/>
                </w:rPr>
                <w:t>24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55">
              <w:r>
                <w:rPr>
                  <w:rStyle w:val="InternetLink"/>
                  <w:rFonts w:ascii="Times New Roman;serif" w:hAnsi="Times New Roman;serif"/>
                  <w:b w:val="false"/>
                  <w:color w:val="0000EE"/>
                  <w:sz w:val="22"/>
                  <w:u w:val="single"/>
                </w:rPr>
                <w:t>DESCRIPTION OF UNITS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55">
              <w:r>
                <w:rPr>
                  <w:rStyle w:val="InternetLink"/>
                  <w:rFonts w:ascii="Times New Roman;serif" w:hAnsi="Times New Roman;serif"/>
                  <w:b w:val="false"/>
                  <w:color w:val="000000"/>
                  <w:sz w:val="20"/>
                  <w:u w:val="single"/>
                </w:rPr>
                <w:t>25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58">
              <w:r>
                <w:rPr>
                  <w:rStyle w:val="InternetLink"/>
                  <w:rFonts w:ascii="Times New Roman;serif" w:hAnsi="Times New Roman;serif"/>
                  <w:b w:val="false"/>
                  <w:color w:val="0000EE"/>
                  <w:sz w:val="22"/>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58">
              <w:r>
                <w:rPr>
                  <w:rStyle w:val="InternetLink"/>
                  <w:rFonts w:ascii="Times New Roman;serif" w:hAnsi="Times New Roman;serif"/>
                  <w:b w:val="false"/>
                  <w:color w:val="000000"/>
                  <w:sz w:val="20"/>
                  <w:u w:val="single"/>
                </w:rPr>
                <w:t>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61">
              <w:r>
                <w:rPr>
                  <w:rStyle w:val="InternetLink"/>
                  <w:rFonts w:ascii="Times New Roman;serif" w:hAnsi="Times New Roman;serif"/>
                  <w:b w:val="false"/>
                  <w:color w:val="0000EE"/>
                  <w:sz w:val="22"/>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61">
              <w:r>
                <w:rPr>
                  <w:rStyle w:val="InternetLink"/>
                  <w:rFonts w:ascii="Times New Roman;serif" w:hAnsi="Times New Roman;serif"/>
                  <w:b w:val="false"/>
                  <w:color w:val="000000"/>
                  <w:sz w:val="20"/>
                  <w:u w:val="single"/>
                </w:rPr>
                <w:t>28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200"/>
              <w:jc w:val="left"/>
              <w:rPr/>
            </w:pPr>
            <w:hyperlink w:anchor="ia4e27873938b4bdabc44ac1e6d93c8ea_64">
              <w:r>
                <w:rPr>
                  <w:rStyle w:val="InternetLink"/>
                  <w:rFonts w:ascii="Times New Roman;serif" w:hAnsi="Times New Roman;serif"/>
                  <w:b w:val="false"/>
                  <w:color w:val="0000EE"/>
                  <w:sz w:val="22"/>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center"/>
              <w:rPr/>
            </w:pPr>
            <w:hyperlink w:anchor="ia4e27873938b4bdabc44ac1e6d93c8ea_64">
              <w:r>
                <w:rPr>
                  <w:rStyle w:val="InternetLink"/>
                  <w:rFonts w:ascii="Times New Roman;serif" w:hAnsi="Times New Roman;serif"/>
                  <w:b w:val="false"/>
                  <w:color w:val="000000"/>
                  <w:sz w:val="20"/>
                  <w:u w:val="single"/>
                </w:rPr>
                <w:t>28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85" w:name="i16aa29c1893d49e38b77a880bf594c14"/>
      <w:bookmarkEnd w:id="85"/>
      <w:r>
        <w:rPr>
          <w:rFonts w:ascii="Times New Roman;serif" w:hAnsi="Times New Roman;serif"/>
          <w:b/>
          <w:color w:val="000000"/>
          <w:sz w:val="20"/>
        </w:rPr>
        <w:t xml:space="preserve">ABOUT THIS PROSPECTUS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that we filed with the U.S. Securities and Exchange Commission (the “SEC”), using a “shelf” registration process. By using a shelf registration statement, we may sell securities from time to time and in one or more offerings up to a total dollar amount of $500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When we refer to “Crescent,” “we,” “our,” “us” and the “Company” in this prospectus, we mean Crescent Biopharma, Inc. and our subsidiaries, unless otherwise specified. When we refer to “you,” we mean the potential holders of the applicable series of securities. </w:t>
      </w:r>
    </w:p>
    <w:p>
      <w:pPr>
        <w:pStyle w:val="TextBody"/>
        <w:bidi w:val="0"/>
        <w:spacing w:lineRule="auto" w:line="288" w:before="240" w:after="283"/>
        <w:jc w:val="left"/>
        <w:rPr/>
      </w:pPr>
      <w:r>
        <w:rPr>
          <w:rFonts w:ascii="Times New Roman;serif" w:hAnsi="Times New Roman;serif"/>
          <w:b w:val="false"/>
          <w:color w:val="000000"/>
          <w:sz w:val="20"/>
        </w:rPr>
        <w:t xml:space="preserve">We use our trademarks and service marks in this prospectus, as well as trademarks, tradenames and service marks that are the property of other organizations. Solely for convenience, trademarks and tradenames referred to in this prospectus appear without the </w:t>
      </w:r>
      <w:r>
        <w:rPr>
          <w:rFonts w:ascii="Times New Roman;serif" w:hAnsi="Times New Roman;serif"/>
          <w:b w:val="false"/>
          <w:color w:val="000000"/>
          <w:sz w:val="15"/>
        </w:rPr>
        <w:t>®</w:t>
      </w:r>
      <w:r>
        <w:rPr>
          <w:color w:val="000000"/>
        </w:rPr>
        <w:t xml:space="preserve"> </w:t>
      </w:r>
      <w:r>
        <w:rPr>
          <w:rFonts w:ascii="Times New Roman;serif" w:hAnsi="Times New Roman;serif"/>
          <w:b w:val="false"/>
          <w:color w:val="000000"/>
          <w:sz w:val="20"/>
        </w:rPr>
        <w:t xml:space="preserve">and </w:t>
      </w:r>
      <w:r>
        <w:rPr>
          <w:color w:val="000000"/>
        </w:rPr>
        <w:t xml:space="preserve">™ </w:t>
      </w:r>
      <w:r>
        <w:rPr>
          <w:rFonts w:ascii="Times New Roman;serif" w:hAnsi="Times New Roman;serif"/>
          <w:b w:val="false"/>
          <w:color w:val="000000"/>
          <w:sz w:val="20"/>
        </w:rPr>
        <w:t>symbols, but those references are not intended to indicate, in any way, that we will not assert, to the fullest extent under applicable law, our rights or that the applicable owner will not assert its rights, to these trademarks and tradenames.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86" w:name="ic6c7a829fd2349cf902e4e8992b63e2f"/>
      <w:bookmarkEnd w:id="86"/>
      <w:r>
        <w:rPr>
          <w:rFonts w:ascii="Times New Roman;serif" w:hAnsi="Times New Roman;serif"/>
          <w:b/>
          <w:color w:val="000000"/>
          <w:sz w:val="20"/>
        </w:rPr>
        <w:t xml:space="preserve">CAUTIONARY STATEMENT CONCERNING FORWARD-LOOKING STATEMENTS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statements, other than statements of historical facts contained in this prospectus, including, without limitation, statements regarding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as well as global events, including military conflicts and geopolitical tensions on our operations, and the receipt and timing of potential regulatory designations, approvals and commercialization of product candidates, are forward-looking statements.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are disclosed in the sections titled “Risk Factors” in this prospectus and in the documents incorporated by reference in this prospectus and any applicable prospectus supplement.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This prospectus contains or incorporates by reference estimates, projections and other information concerning our industry, our business and the potential markets for our product candidates, including data regarding the estimated size of such markets and the incidence of certain medical conditions. We obtained the industry, market and competitive position data set forth in this prospectus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the industry and market, which we believe to be reasonable. In some cases, we do not expressly refer to the sources from which this data is derived.</w:t>
      </w:r>
      <w:r>
        <w:rPr>
          <w:color w:val="000000"/>
        </w:rPr>
        <w:t xml:space="preserve"> </w:t>
      </w:r>
      <w:r>
        <w:rPr>
          <w:rFonts w:ascii="Times New Roman;serif" w:hAnsi="Times New Roman;serif"/>
          <w:b w:val="false"/>
          <w:color w:val="000000"/>
          <w:sz w:val="20"/>
        </w:rPr>
        <w:t xml:space="preserve">We believe that the third-party data set forth in this prospectus is reliable and based on reasonable assumptions. This information, to the extent it contains estimates or projections involves a number of assumptions and limitations, and you are cautioned not to give undue weight to such estimates or projections. The industry in which we operate is subject to risks and uncertainties and is subject to change based on various factors, including those set forth under the section titled “Risk Factors” included in this prospectus. These and other factors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could cause results to differ materially from those expressed in the estimates made by the independent parties and by us.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 </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00"/>
        <w:jc w:val="center"/>
        <w:rPr>
          <w:rFonts w:ascii="Times New Roman;serif" w:hAnsi="Times New Roman;serif"/>
          <w:b/>
          <w:color w:val="000000"/>
          <w:sz w:val="20"/>
        </w:rPr>
      </w:pPr>
      <w:bookmarkStart w:id="87" w:name="i4d63a8559abf4f76b868e290b5bcfdf0"/>
      <w:bookmarkEnd w:id="87"/>
      <w:r>
        <w:rPr>
          <w:rFonts w:ascii="Times New Roman;serif" w:hAnsi="Times New Roman;serif"/>
          <w:b/>
          <w:color w:val="000000"/>
          <w:sz w:val="20"/>
        </w:rPr>
        <w:t xml:space="preserve">WHERE YOU CAN FIND MORE INFORMATION; INCORPORATION BY REFERENCE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website address is www.crescentbiopharma.com. The information on our website, however, is not, and should not be deemed to be, a part of this prospectus.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any accompanying prospectus supplement incorporate by reference the documents set forth below that have previously been filed with the SEC (except for information in these documents or filings that is deemed “furnished” and not “filed” in accordance with the SEC rules, including pursuant to Item 2.02 or 7.01 of Form 8-K, or corresponding information furnished under Item 9.01 as an exhibit, and no such information shall be deemed specifically incorporated by reference herein or in any accompanying prospectus supplement): </w:t>
      </w:r>
    </w:p>
    <w:p>
      <w:pPr>
        <w:pStyle w:val="TextBody"/>
        <w:bidi w:val="0"/>
        <w:spacing w:lineRule="auto" w:line="288" w:before="240" w:after="200"/>
        <w:ind w:left="0" w:right="0" w:hanging="360"/>
        <w:jc w:val="left"/>
        <w:rPr/>
      </w:pPr>
      <w:r>
        <w:rPr>
          <w:color w:val="231F20"/>
        </w:rPr>
        <w:t>•</w:t>
      </w:r>
      <w:r>
        <w:rPr>
          <w:rFonts w:ascii="Times New Roman;serif" w:hAnsi="Times New Roman;serif"/>
          <w:b w:val="false"/>
          <w:color w:val="231F20"/>
          <w:sz w:val="20"/>
        </w:rPr>
        <w:t xml:space="preserve">our Annual Report on </w:t>
      </w:r>
      <w:hyperlink r:id="rId12">
        <w:r>
          <w:rPr>
            <w:rStyle w:val="InternetLink"/>
            <w:rFonts w:ascii="Times New Roman;serif" w:hAnsi="Times New Roman;serif"/>
            <w:b w:val="false"/>
            <w:color w:val="0000FF"/>
            <w:sz w:val="20"/>
            <w:u w:val="single"/>
          </w:rPr>
          <w:t>Form 10-K</w:t>
        </w:r>
      </w:hyperlink>
      <w:r>
        <w:rPr>
          <w:color w:val="231F20"/>
        </w:rPr>
        <w:t xml:space="preserve"> </w:t>
      </w:r>
      <w:r>
        <w:rPr>
          <w:rFonts w:ascii="Times New Roman;serif" w:hAnsi="Times New Roman;serif"/>
          <w:b w:val="false"/>
          <w:color w:val="231F20"/>
          <w:sz w:val="20"/>
        </w:rPr>
        <w:t>for the year ended December 31, 2025, filed with the SEC on February 26,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our Quarterly Report on </w:t>
      </w:r>
      <w:hyperlink r:id="rId13">
        <w:r>
          <w:rPr>
            <w:rStyle w:val="InternetLink"/>
            <w:rFonts w:ascii="Times New Roman;serif" w:hAnsi="Times New Roman;serif"/>
            <w:b w:val="false"/>
            <w:color w:val="0000FF"/>
            <w:sz w:val="20"/>
            <w:u w:val="single"/>
          </w:rPr>
          <w:t>Form 10-Q</w:t>
        </w:r>
      </w:hyperlink>
      <w:r>
        <w:rPr>
          <w:color w:val="231F20"/>
        </w:rPr>
        <w:t> </w:t>
      </w:r>
      <w:r>
        <w:rPr>
          <w:rFonts w:ascii="Times New Roman;serif" w:hAnsi="Times New Roman;serif"/>
          <w:b w:val="false"/>
          <w:color w:val="231F20"/>
          <w:sz w:val="20"/>
        </w:rPr>
        <w:t>for the quarter ended March 31, 2026, filed with the SEC on April 29, 2026, as amended by </w:t>
      </w:r>
      <w:hyperlink r:id="rId14">
        <w:r>
          <w:rPr>
            <w:rStyle w:val="InternetLink"/>
            <w:rFonts w:ascii="Times New Roman;serif" w:hAnsi="Times New Roman;serif"/>
            <w:b w:val="false"/>
            <w:color w:val="0000FF"/>
            <w:sz w:val="20"/>
            <w:u w:val="single"/>
          </w:rPr>
          <w:t>Amendment No. 1</w:t>
        </w:r>
      </w:hyperlink>
      <w:r>
        <w:rPr>
          <w:color w:val="231F20"/>
        </w:rPr>
        <w:t> </w:t>
      </w:r>
      <w:r>
        <w:rPr>
          <w:rFonts w:ascii="Times New Roman;serif" w:hAnsi="Times New Roman;serif"/>
          <w:b w:val="false"/>
          <w:color w:val="231F20"/>
          <w:sz w:val="20"/>
        </w:rPr>
        <w:t>to our Quarterly Report on Form 10-Q, filed with the SEC on June 22, 2026;</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the information specifically incorporated by reference into our Annual Report on Form 10-K from our Definitive Proxy Statement on </w:t>
      </w:r>
      <w:hyperlink r:id="rId15">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231F20"/>
          <w:sz w:val="20"/>
        </w:rPr>
        <w:t>, filed with the SEC on April 21, 2026;</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our Current Report on </w:t>
      </w:r>
      <w:hyperlink r:id="rId16">
        <w:r>
          <w:rPr>
            <w:rStyle w:val="InternetLink"/>
            <w:rFonts w:ascii="Times New Roman;serif" w:hAnsi="Times New Roman;serif"/>
            <w:b w:val="false"/>
            <w:color w:val="0000FF"/>
            <w:sz w:val="20"/>
            <w:u w:val="single"/>
          </w:rPr>
          <w:t>Form 8-K</w:t>
        </w:r>
      </w:hyperlink>
      <w:r>
        <w:rPr>
          <w:rFonts w:ascii="Times New Roman;serif" w:hAnsi="Times New Roman;serif"/>
          <w:b w:val="false"/>
          <w:color w:val="231F20"/>
          <w:sz w:val="20"/>
        </w:rPr>
        <w:t>, filed with the SEC on June 3, 2026; and</w:t>
      </w:r>
    </w:p>
    <w:p>
      <w:pPr>
        <w:pStyle w:val="TextBody"/>
        <w:bidi w:val="0"/>
        <w:spacing w:lineRule="auto" w:line="240" w:before="0" w:after="200"/>
        <w:ind w:left="0" w:right="0" w:hanging="360"/>
        <w:jc w:val="left"/>
        <w:rPr/>
      </w:pPr>
      <w:r>
        <w:rPr>
          <w:color w:val="231F20"/>
        </w:rPr>
        <w:t>•</w:t>
      </w:r>
      <w:r>
        <w:rPr>
          <w:rFonts w:ascii="Times New Roman;serif" w:hAnsi="Times New Roman;serif"/>
          <w:b w:val="false"/>
          <w:color w:val="231F20"/>
          <w:sz w:val="20"/>
        </w:rPr>
        <w:t xml:space="preserve">the description of our securities contained in our registration statement on </w:t>
      </w:r>
      <w:hyperlink r:id="rId17">
        <w:r>
          <w:rPr>
            <w:rStyle w:val="InternetLink"/>
            <w:rFonts w:ascii="Times New Roman;serif" w:hAnsi="Times New Roman;serif"/>
            <w:b w:val="false"/>
            <w:color w:val="0000FF"/>
            <w:sz w:val="20"/>
            <w:u w:val="single"/>
          </w:rPr>
          <w:t>Form 8A12B/A</w:t>
        </w:r>
      </w:hyperlink>
      <w:r>
        <w:rPr>
          <w:rFonts w:ascii="Times New Roman;serif" w:hAnsi="Times New Roman;serif"/>
          <w:b w:val="false"/>
          <w:color w:val="231F20"/>
          <w:sz w:val="20"/>
        </w:rPr>
        <w:t xml:space="preserve">, filed with the SEC on November 6, 2025, including any amendment or report filed with the SEC for the purpose of updating the description, including </w:t>
      </w:r>
      <w:hyperlink r:id="rId18">
        <w:r>
          <w:rPr>
            <w:rStyle w:val="InternetLink"/>
            <w:rFonts w:ascii="Times New Roman;serif" w:hAnsi="Times New Roman;serif"/>
            <w:b w:val="false"/>
            <w:color w:val="0000FF"/>
            <w:sz w:val="20"/>
            <w:u w:val="single"/>
          </w:rPr>
          <w:t>Exhibit 4.3</w:t>
        </w:r>
      </w:hyperlink>
      <w:r>
        <w:rPr>
          <w:color w:val="231F20"/>
        </w:rPr>
        <w:t xml:space="preserve"> </w:t>
      </w:r>
      <w:r>
        <w:rPr>
          <w:rFonts w:ascii="Times New Roman;serif" w:hAnsi="Times New Roman;serif"/>
          <w:b w:val="false"/>
          <w:color w:val="231F20"/>
          <w:sz w:val="20"/>
        </w:rPr>
        <w:t>to our Annual Report on Form 10-K for the year ended December 31, 2025, filed with the SEC on February 26, 2026.</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free copy of any of the documents incorporated by reference in this prospectus by writing or telephoning us at the following address: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Crescent Biopharma,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Attention: Corporate Secretary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300 Fifth Avenue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Waltham, MA 02451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(617) 430-5595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or any accompanying prospectus supplement.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88" w:name="i2ec873799e0a4c7a8048b6d7eb2914d1"/>
      <w:bookmarkEnd w:id="88"/>
      <w:r>
        <w:rPr>
          <w:rFonts w:ascii="Times New Roman;serif" w:hAnsi="Times New Roman;serif"/>
          <w:b/>
          <w:color w:val="000000"/>
          <w:sz w:val="20"/>
        </w:rPr>
        <w:t>THE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our lead product candidate, CR-001, which we refer to as a PD-1 x VEGF bispecific antibody because it is designed to bind both the PD-1 immune checkpoint and Vascular Endothelial Growth Factor,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initiated a global Phase 1/2 trial of CR-001 in February 2026, and a Phase 1/2 trial of CR-003 (also referred to as SKB105), an integrin beta-6 (“ITGB6”)-directed ADC, as a monotherapy in the first quarter of 2026 in China through our partner, Sichuan Kelun-Biotech Biopharmaceutical Co., Ltd. (“Kelun”). In addition, we anticipate initiation of a monotherapy clinical trial of CR-002, a PD-L1-directed ADC with a topoisomerase payload, as well as the first ADC combination trial with CR-001 and a Kelun ADC in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were initially incorporated under the laws of the State of Delaware in 2003. Our company, formerly known as GlycoMimetics, Inc., is a biotechnology company that is the result of a reverse recapitalization transaction with a private company named Crescent Biopharma, Inc. (“Pre-Merger Crescent”). Prior to the reverse recapitalization transaction, Pre-Merger Crescent was established and incorporated under the laws of the State of Delaware on September 19, 2024. Pre-Merger Crescent was founded to research and develop cancer therapy candidates.</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June 16, 2025, in connection with the reverse recapitalization transaction with Pre-Merger Crescent, we changed our jurisdiction of incorporation from the State of Delaware to the Cayman Islands pursuant to a plan of conversion.</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300 Fifth Avenue, Waltham, MA 02451, and our telephone number is (617) 430-5595.</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89" w:name="ie2fad8a1299846d996c541af4bc674a5"/>
      <w:bookmarkEnd w:id="89"/>
      <w:r>
        <w:rPr>
          <w:rFonts w:ascii="Times New Roman;serif" w:hAnsi="Times New Roman;serif"/>
          <w:b/>
          <w:color w:val="000000"/>
          <w:sz w:val="20"/>
        </w:rPr>
        <w:t xml:space="preserve">RISK FACTORS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any securities offered pursuant to this prospectus and the applicable prospectus supplement involves risks. You should carefully consider the risk factors incorporated by reference herein from our most recent Annual Report on Form 10-K and any subsequent Quarterly Reports on Form 10-Q or Current Reports on Form 8-K, including those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please see “Where You Can Find More Information; Incorporation by Reference.” </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0" w:name="i8ffa98e08b0d486695959e96f9fa9edf"/>
      <w:bookmarkEnd w:id="90"/>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will retain broad discretion over the use of the net proceeds from the sale of the securities offered by this prospectus. We intend to use the net proceeds from the sale of the securities as set forth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1" w:name="i15de2864d19242cbb8d711a9bab4ffbe"/>
      <w:bookmarkEnd w:id="91"/>
      <w:r>
        <w:rPr>
          <w:rFonts w:ascii="Times New Roman;serif" w:hAnsi="Times New Roman;serif"/>
          <w:b/>
          <w:color w:val="000000"/>
          <w:sz w:val="20"/>
        </w:rPr>
        <w:t xml:space="preserve">DIVIDEND POLICY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have never declared or paid any cash dividends on our ordinary shares. We currently intend to retain all available funds and any future earnings to support our operations and finance the growth and development of our business. We do not intend to pay cash dividends on our ordinary shares for the foreseeable future.</w:t>
      </w: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2" w:name="icbbf501e14d94a74a7c14ca25e81a780"/>
      <w:bookmarkEnd w:id="92"/>
      <w:r>
        <w:rPr>
          <w:rFonts w:ascii="Times New Roman;serif" w:hAnsi="Times New Roman;serif"/>
          <w:b/>
          <w:color w:val="000000"/>
          <w:sz w:val="20"/>
        </w:rPr>
        <w:t xml:space="preserve">DESCRIPTION OF SHARE CAPITAL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certain terms and provisions of our ordinary shares. The following summary does not purport to be complete, and is subject to, and qualified in its entirety by, the Company’s memorandum and articles of association (the “Articles of Association”), the Company’s Certificate of Designation of Preferences, Rights and Limitations of Series A Non-Voting Convertible Preferred Shares (the “Series A Certificate of Designation”), and the Companies Act (as amended) of the Cayman Islands (the “Companies Act”). Copies of the Articles of Association and the Series A Certificate of Designation have been filed as exhibits to our most recent Annual Report on Form 10-K and are incorporated by reference herein.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authorized share capital of the Company under the Articles of Association is US$180,000 divided into 175,000,000 “ordinary shares,” having a par value of US$0.001 per share; and 5,000,000 “preferred shares,” having a par value of US$0.001 per share. Subject to the rights and restrictions of holders of any series of Series A Preferred Shares (as defined below) specified by the Articles of Association or the Series A Certificate of Designation, the Company may increase its authorized share capital through an ordinary resolution (the affirmative vote of a simple majority of the votes cast at a general meeting). See “Preferred Shares” below for further information.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approximately 53 holders of record of our ordinary shares. The actual number of holders of our ordinary shares is greater than this number of record holders and includes shareholders who are beneficial owners, but whose shares are held in “street name” by brokers or held by other “nominees.” The number of holders of record also does not include shareholders whose shares may be held in trust by other entities.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Ordinary Shares</w: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holder of ordinary shares carries the right to receive notice of, to attend and to vote one vote per ordinary share at any Company general meeting.</w: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Structure of Board of Directors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board of directors of the Company (the “Board”) is divided into three classes: Class I, Class II and Class III. The Board is authorized to assign members of the directors already in office to such classes in accordance with a resolution or resolutions adopted by the Board. At each annual general meeting of shareholders, directors shall be elected for a full term of three years to succeed the directors of the particular class whose terms expire at such annual general meeting. Notwithstanding the foregoing provisions of this section, each director shall serve until his or her successor is duly elected and qualified or until his or her earlier death, resignation or removal. The Class I directors’ terms expire at the 2028 annual meeting of shareholders, Class II directors’ terms expire at the 2029 annual meeting of shareholders and Class III directors’ terms expire at the 2027 annual meeting of shareholders.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at each succeeding annual general meeting of shareholders, directors will be elected for a full three-year term to succeed the directors of the class whose terms expire at such meeting. Any decrease in the number of directors constituting the Board will not shorten the term of any incumbent director.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all times when at least 30% of the originally issued Series A Preferred Shares (as defined below) remains issued and outstanding: (i) the holders of record of the Series A Preferred Shares, exclusively and voting together as a separate class on an as-converted to ordinary shares basis, shall be entitled to elect two directors (“Preferred Directors”); and (ii) the holders of the ordinary shares and of any other class or series of voting shares (including the Series A Preferred Shares), exclusively and voting together as a single class on an as-converted to ordinary shares basis, shall be entitled to elect the balance of the total number of directors of the Company. Each Preferred Director shall be entitled to three votes on each matter presented to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Preemptive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Company shareholders do not have preemptive rights. Thus, if additional ordinary shares are issued, the current holders of ordinary shares own a proportionately smaller interest in a larger number of outstanding ordinary shares to the extent that they do not participate in the additional issuance.</w: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Distributions to Shareholders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Companies Act, the Articles of Association and any certificate of designation, and except as otherwise provided by the rights attached to any shares, the directors may resolve to declare dividends (including interim dividends) and other distributions on shares in issue and authorize payment of the dividends or other distributions out of the funds of the Company lawfully available therefor. All dividends shall be declared and paid according to the amounts paid up on the ordinary shares, but if and for so long as nothing is paid up on any of the ordinary shares, dividends may be declared and paid according to the par value of the ordinary shares. Dividends may be paid in cash, in property, or in shares.</w:t>
      </w:r>
    </w:p>
    <w:p>
      <w:pPr>
        <w:pStyle w:val="TextBody"/>
        <w:bidi w:val="0"/>
        <w:spacing w:lineRule="auto" w:line="288"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All outstanding ordinary shares are fully paid and nonassessable. The ordinary shares are not subject to redemption or sinking fund provisions.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Preferred Shares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provide that, whenever the capital of the Company is divided into different classes (and as otherwise determined by the Board)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simple majority of the issued ordinary or preferred shares of the relevant class, or with the sanction of a resolution passed at a separate meeting of the holders of the ordinary or preferred shares of such class by a simple majority of the votes cast at such a meeting. The Board may vary the rights attaching to any class without the consent or approval of shareholders; provided that the rights may not, in the determination of the directors, be materially adversely varied or abrogated by such action.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also provide that the rights conferred upon the holders of the ordinary or preferred shares of any class shall not, unless otherwise expressly provided by the terms of issue of the relevant class, be deemed to be materially adversely varied or abrogated by the creation, allotment or issue of ordinary or preferred shares ranking pari passu with them, subsequent to them, with preferred rights (including enhanced voting rights) or the redemption or purchase of any of the relevant class by the Company.</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designated a series of preferred shares through the Series A Certificate of Designation: Series A Non-Voting Convertible Preferred Shares (the “Series A Preferred Shares”). Except as otherwise provided for in the Articles of Association, the Series A Certificate of Designation or at law, a holder of Series A Preferred Shares does not have voting rights. The Series A Certificate of Designation provides for certain voting rights in relation to the election of directors as discussed under “Ordinary Shares- Structure of Board of Directors”. In addition, as long as any Series A Preferred Shares are issued and outstanding, the Company does not, without the affirmative vote of the Preferred Directors, acting together, or the holders of a simple majority of the then issued and outstanding Series A Preferred Shares: (i) alter or change adversely the powers, preferences or rights given to the Series A Preferred Shares or alter or amend the Series A Certificate of Designation, amend the Articles of Association,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of the Series A Preferred Shares, regardless of whether any of the foregoing actions are by means of amendment to the Articles of Association or by merger, consolidation, recapitalization, reclassification, conversion or otherwise, (ii) issue further Series A Preferred Shares or increase or decrease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by conversion) the number of authorized Series A Preferred Shares, (iii) at any time while at least 30% of the originally issued Series A Preferred Shares remains issued and outstanding, consummate either: (A) any Fundamental Transaction (as defined in the Series A Certificate of Designation) or (B) any merger or consolidation of the Company or other business combination in which the shareholders of the Company immediately before such transaction do not hold at least a simple majority on an as-converted-to-ordinary shares basis of the share capital of the Company immediately after such transaction, (iv) increase the authorized number of directors constituting the Board or change the number of votes entitled to be cast by any director or directors on any matter or (v) enter into any agreement with respect to any of the foregoing that does not explicitly require the approval contemplated to consummate such transaction.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provisions of Cayman Islands law and the Articles of Association, which are summarized below, may have the effect of delaying, deferring, or discouraging another person from acquiring control of the Company. They are also designed, in part, to encourage persons seeking to acquire control of the Company to negotiate first with the Board.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Removal of Directors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rights and restrictions of holders of any series of preferred shares to remove directors specified by the Articles of Association or any certificate of designation, any individual director or the Board may only be removed with cause by a special resolution passed by the affirmative vote of not less than two-thirds of the votes cast at a general meeting.</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all times when at least 30% of the originally issued Series A Preferred Shares remains issued and outstanding, any Preferred Director may be removed without cause only by the affirmative vote of the holders of a simple majority of the Series A Preferred Shares.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Vacancies on the Board of Directors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rights of the holders of any series of preferred shares, including pursuant to any certificate of designation, any vacancies on the Board resulting from death, resignation, disqualification, removal or other causes, and any newly created directorships resulting from any increase in the number of directors, shall, unless the Board determines by resolution that any such vacancies or newly created directorships shall be filled by the shareholders as permitted in accordance with the Articles of Association and any certificate of designation, be filled only by the affirmative vote of a simple majority of the voting power of the directors then in office,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all times when at least 30% of the originally issued Series A Preferred Shares remains issued and outstanding, any vacancies of a Preferred Director directorship resulting from death, resignation, disqualification, removal or other causes shall be filled by the affirmative vote of the holders of a simple majority of the Series A Preferred Shares.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Shareholder Action by Written Consent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resolution in writing signed by all the shareholders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Special Meetings of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there is no statutory right for shareholders to call a general meeting where the articles of association provide for the calling of meetings. Where the articles of association provide for calling of meetings, the ability to convene such a meeting is governed by the company’s articles of association.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meetings of the Company shareholders may be called, for any purpose as is a proper matter for shareholder action under Cayman Islands law, by (i) the chairman of the Board, (ii) the chief executive officer, or (iii) the Board pursuant to a resolution adopted by a simple majority of the voting power of the directors present at a meeting of directors or by unanimous written consent of all directors.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Board shall determine the date, time and place (including any electronic facility), if any, of such general meeting. Upon determination of the date, time and place (including any electronic facility), if any, of the meeting, the Board or secretary shall cause a notice of general meeting to be given to the Company shareholders entitled to vote, in accordance with the Articles of Association. No business may be transacted at such special meeting otherwise than specified in the notice of general meeting.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Shareholder Vote for Mergers and Other Corporate Reorganizations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Company requires (i) not less than a two-thirds majority of the votes cast by such shareholders attending and voting in person or, where proxies are allowed, by proxy at a quorate general meeting of the Company or (ii) the written resolution of all shareholders entitled to vote at such general meeting.</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a Cayman Islands exempted company may be acquired through a tender offer by a third party. Where the holders of 90% or more in value of a class of the Company’s shares (excluding any shares already beneficially owned by the offeror) have within four months of the making of an offer accepted an offer for their shares in the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Company’s shares but does not exercise its “squeeze out” right, then the non-accepting shareholders have no statutory right to require the offeror to acquire their shares on the same terms as the original offer.</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Advance Notice Requirements for Shareholder Proposals and Director Nominations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Nominations of persons for election to the Board and the proposal of business to be considered by the shareholders may be made at an annual general meeting of shareholders: (i) pursuant to the Company’s notice of meeting of shareholders (with respect to business other than nominations); (ii) brought specifically by or at the direction of the Board; or (iii) by any shareholder of the Company who was a shareholder of record at the time of giving the shareholders’ notice provided for in the Articles of Association below, who is entitled to vote at the meeting and who complied with the notice procedures set forth in Articles of Association. Such notice must be received by the Company not later than the close of business on the ninetieth day and no earlier than the close of business on the one hundred twentieth day prior to the first anniversary of the preceding year’s annual meeting, in the case of an annual meeting nomination, and not later than the close of business on the later of the ninetieth day prior to such meeting or the tenth day following the day on which public announcement is first made of the date of the general meeting and of the nominees proposed by the Board to be elected at such meeting, in the case of a general meeting nomination.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 Cumulative Voting</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Companies Act does not provide for cumulative voting as a mechanism for electing directors and if a Cayman Islands exempted company wants to allow cumulative voting, it must explicitly set out in its articles of association. The Articles of Association do not provide for cumulative voting.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Amendment of Articles of Association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Companies Act and the rights attaching to the various classes, including pursuant to any certificate of designation, the Company may at any time and from time to time by special resolution passed by the affirmative vote of not less than two-thirds of the votes cast at a general meeting alter or amend the memorandum of association forming a part of the Articles of Association in whole or in part.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Shareholder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other provisions of Cayman Islands law and the Articles of Association summarized below also have important effects on the rights of shareholders of the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Shareholder Inspection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may be open to the inspection of shareholders not being directors.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Appraisal or Dissenter’s Rights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lineRule="auto" w:line="288" w:before="24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Association provide that, unless the Company consents in writing to the selection of an alternative forum, the courts of the Cayman Islands shall have exclusive jurisdiction over any claim or dispute arising out of or in connection with the Articles of Association or otherwise related in any way to each member’s shareholding in the Company, including but not limited to: (a) any derivative action or proceeding brought on behalf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Company; (b) any action asserting a claim of breach of any fiduciary or other duty owed by any current or former director, officer or other employee of the Company to the Company or the members; (c) any action asserting a claim arising pursuant to any provision of the Companies Act, the Articles of Association; or (d) any action asserting a claim against the Company concerning its internal affairs and that each shareholder irrevocably submits to the exclusive jurisdiction of the courts of the Cayman Islands over all such claims or disputes.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Articles of Association contains the choice of forum provision described above, it is possible that a court could rule that such a provision is inapplicable for a particular claim or action or that such provision is unenforceable.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Opportunities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Cayman Islands law does not have a codified corporate opportunity doctrine and a director’s obligations in relation to business opportunities are governed by general fiduciary duties which include the duty to act in good faith and in the best interests of the company, the duty to avoid conflicts of interests and a duty to exercise independent judgement and avoid self-dealing. A Cayman Islands director may engage in business activities outside a Cayman Islands exempted company, provided that they have disclosed any personal interest in the opportunity. If the director properly declares their interest at a board meeting, Cayman Islands law generally permits the company to approve the transaction. A director may also vote on resolutions related to such a contract provided the interest has been disclosed.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Shareholders’ Derivative Actions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most cases, under Cayman Islands law, the Company is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whilst the Cayman Islands courts have confirmed the availability for such actions, they are less common relative to similar claims brought in Delaware pursuant to the Delaware law. 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Limitation on Director and Officer Liability</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Companies Act does not restrict the authority of a Cayman exempted company to indemnify its directors, officers, employees or agents.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Association provide that no Indemnified Person (as defined below) shall be liable: (a) for the acts, receipts, neglects, defaults or omissions of any other director or officer or agent of the Company; or (b) for any loss on account of defect of title to any property of the Company; or (c) on account of the insufficiency of any security in or upon which any money of the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provide that, to the fullest extent permitted by law, every director (including any alternate director appointed pursuant to the provisions of the Articles of Association), secretary, assistant secretary, or other officer (but not including the Company’s auditors) and the personal representatives of the same (each an “Indemnified Person”)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shareholder waives any claim or right of action they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willful default or willful neglect which may attach to such director or officer.</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will pay the expenses (including attorneys’ fees) incurred by an Indemnified Person in defending any proceeding in advance of its final disposition; provided, however, that, to the extent required by applicable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Articles of Association or otherwise.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rights to indemnification and advancement of expenses conferred on any Indemnified Person as set out above are not exclusive of any other rights that any Indemnified Person may have or hereafter acquire pursuant to an agreement with the Company or otherwise.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Enforcement of Civil Liabilities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Cayman Islands has a different body of securities laws as compared to the United States and may provide less protection to investors. Additionally, Cayman Islands companies may not have standing to sue before the Federal courts of the United States.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is uncertainty as to whether the courts of the Cayman Islands will recognize and enforce against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natures,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Computershare Trust Company N.A. serves as the transfer agent and registrar for the Company’s ordinary shares.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Company’s ordinary shares are listed on The Nasdaq Capital Market under the symbol “CBIO.” The CUSIP assigned to the Company’s ordinary shares is G2545C104.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3" w:name="i79afb46ca564460b9a8076a13c88894e"/>
      <w:bookmarkEnd w:id="93"/>
      <w:r>
        <w:rPr>
          <w:rFonts w:ascii="Times New Roman;serif" w:hAnsi="Times New Roman;serif"/>
          <w:b/>
          <w:color w:val="000000"/>
          <w:sz w:val="20"/>
        </w:rPr>
        <w:t>DESCRIPTION OF DEBT SECURITIES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section only, “Crescent,” “we,” “our” or “us” refer to Crescent Biopharma, Inc., excluding our subsidiaries, unless expressly stated or the context otherwise requires.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(as applicable). The particular terms of each series of debt securities will be described in a prospectus supplement relating to such series (including any pricing supplement or term sheet).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title and ranking of the debt securities (including the terms of any subordination provisions);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price or prices (expressed as a percentage of the principal amount) at which we will sell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limit on the aggregate principal amount of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 or dates on which the principal of the securities of the series is payable;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period or periods within which, the price or prices at which and the terms and conditions upon which we may redeem the debt securities;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dates on which and the price or prices at which we will repurchase debt securities at the option of the holders of debt securities and other detailed terms and provisions of these repurchase obligations;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denominations in which the debt securities will be issued, if other than denominations of $1,000 and any integral multiple thereof;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whether the debt securities will be issued in the form of certificated debt securities or global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portion of principal amount of the debt securities payable upon declaration of acceleration of the maturity date, if other than the principal amount;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currency of denomination of the debt securities, which may be U.S. dollars or any foreign currency, and if such currency of denomination is a composite currency, the agency or organization, if any, responsible for overseeing such composite currency;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designation of the currency, currencies or currency units in which payment of principal of, and premium and interest on, the debt securities will be made;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provisions relating to any security provided for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addition to, deletion of or change in the covenants described in this prospectus or in the indenture with respect to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depositaries, interest rate calculation agents, exchange rate calculation agents or other agents with respect to the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whether any of our direct or indirect subsidiaries will guarantee the debt securities of that series, including the terms of subordination, if any, of such guarantees.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Transfer and Exchange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debt security will be represented by either one or more global securities registered in the name of The Depository Trust Company (“DTC” or the “Depositary”) or a nominee of the Depositary (we will refer to any debt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Certificated Debt Securities</w:t>
      </w:r>
      <w:r>
        <w:rPr>
          <w:rFonts w:ascii="Times New Roman;serif" w:hAnsi="Times New Roman;serif"/>
          <w:b w:val="false"/>
          <w:color w:val="000000"/>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Global Debt Securities and Book-Entry System</w:t>
      </w:r>
      <w:r>
        <w:rPr>
          <w:rFonts w:ascii="Times New Roman;serif" w:hAnsi="Times New Roman;serif"/>
          <w:b w:val="false"/>
          <w:color w:val="000000"/>
          <w:sz w:val="20"/>
        </w:rPr>
        <w:t xml:space="preserve">. Each global debt security representing book-entry debt securities will be deposited with, or on behalf of, the Depositary, and registered in the name of the Depositary or a nominee of the Depositary.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Covenants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set forth in the applicable prospectus supplement any restrictive covenants applicable to any issue of debt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 Protection in the Event of a Change of Control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Consolidation, Merger and Sale of Assets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consolidate with or merge with or into, or convey, transfer or lease all or substantially all of our properties and assets to, any person (a “successor person”) unless: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the surviving entity or the successor person (if other than Crescent) is a corporation, partnership, trust or other entity organized and validly existing under the laws of any U.S. domestic jurisdiction and expressly assumes our obligations on the debt securities and under the indenture;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immediately after giving effect to the transaction, no Default or Event of Default, shall have occurred and be continuing.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above, any of our subsidiaries may consolidate with, merge into or transfer all or part of its properties to us.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Events of Default </w:t>
      </w:r>
    </w:p>
    <w:p>
      <w:pPr>
        <w:pStyle w:val="TextBody"/>
        <w:bidi w:val="0"/>
        <w:spacing w:lineRule="auto" w:line="288" w:before="120" w:after="283"/>
        <w:ind w:left="0" w:right="0" w:firstLine="490"/>
        <w:jc w:val="left"/>
        <w:rPr>
          <w:color w:val="000000"/>
        </w:rPr>
      </w:pPr>
      <w:r>
        <w:rPr>
          <w:color w:val="000000"/>
        </w:rPr>
        <w:t>“</w:t>
      </w:r>
      <w:r>
        <w:rPr>
          <w:rFonts w:ascii="Times New Roman;serif" w:hAnsi="Times New Roman;serif"/>
          <w:b w:val="false"/>
          <w:color w:val="000000"/>
          <w:sz w:val="20"/>
        </w:rPr>
        <w:t xml:space="preserve">Event of Default” means with respect to any series of debt securities, any of the following: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default in the payment of principal of any debt security of that series at its maturity;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default in the performance or breach of any other covenant or warranty by us in the indenture or any debt security (other than a covenant or warranty that has been included in the indenture solely for the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of a series of debt securities other than that series), which default continues uncured for a period of 60 days after we receive written notice from the trustee or Crescent and the trustee receive written notice from the holders of not less than 25% in principal amount of the outstanding debt securities of that series as provided in the indenture;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certain voluntary or involuntary events of bankruptcy, insolvency or reorganization of Crescent;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Event of Default provided with respect to debt securities of that series that is described in the applicable prospectus supplement.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that holder has previously given to the trustee written notice of a continuing Event of Default with respect to debt securities of that series;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Modification and Waiver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trustee may modify, amend or supplement the indenture or the debt securities of any series without the consent of any holder of any debt security: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to cure any ambiguity, defect or inconsistency;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comply with covenants in the indenture described above under the heading “Consolidation, Merger and Sale of Assets;”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provide for uncertificated securities in addition to or in place of certificated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add guarantees with respect to debt securities of any series or secure debt securities of any series;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surrender any of our rights or powers under the indenture;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add covenants or Events of Default for the benefit of the holders of debt securities of any series;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comply with the applicable procedures of the applicable depositary;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make any change that does not adversely affect the rights of any holder of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provide for the issuance of and establish the form and terms and conditions of debt securities of any series as permitted by the indenture;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comply with requirements of the SEC in order to effect or maintain the qualification of the indenture under the Trust Indenture Act.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reduce the amount of debt securities whose holders must consent to an amendment, supplement or waiver;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reduce the rate of or extend the time for payment of interest (including default interest) on any debt security;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reduce the principal amount of discount securities payable upon acceleration of maturity;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make the principal of, or premium or interest on, any debt security payable in currency other than that stated in the debt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waive a redemption payment with respect to any debt security.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Defeasance of Debt Securities and Certain Covenants in Certain Circumstances </w:t>
      </w:r>
    </w:p>
    <w:p>
      <w:pPr>
        <w:pStyle w:val="TextBody"/>
        <w:bidi w:val="0"/>
        <w:spacing w:lineRule="auto" w:line="288" w:before="120" w:after="283"/>
        <w:ind w:left="0" w:right="0" w:firstLine="490"/>
        <w:jc w:val="left"/>
        <w:rPr/>
      </w:pPr>
      <w:r>
        <w:rPr>
          <w:rFonts w:ascii="Times New Roman;serif" w:hAnsi="Times New Roman;serif"/>
          <w:b w:val="false"/>
          <w:i/>
          <w:color w:val="000000"/>
          <w:sz w:val="20"/>
        </w:rPr>
        <w:t>Legal Defeasance</w:t>
      </w:r>
      <w:r>
        <w:rPr>
          <w:rFonts w:ascii="Times New Roman;serif" w:hAnsi="Times New Roman;serif"/>
          <w:b w:val="false"/>
          <w:color w:val="000000"/>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Defeasance of Certain Covenants</w:t>
      </w:r>
      <w:r>
        <w:rPr>
          <w:rFonts w:ascii="Times New Roman;serif" w:hAnsi="Times New Roman;serif"/>
          <w:b w:val="false"/>
          <w:color w:val="000000"/>
          <w:sz w:val="20"/>
        </w:rPr>
        <w:t xml:space="preserve">. The indenture provides that, unless otherwise provided by the terms of the applicable series of debt securities, upon compliance with certain conditions: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omission to comply with those covenants will not constitute a Default or an Event of Default with respect to the debt securities of that series (“covenant defeasance”).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conditions include: </w:t>
      </w:r>
    </w:p>
    <w:p>
      <w:pPr>
        <w:pStyle w:val="TextBody"/>
        <w:bidi w:val="0"/>
        <w:spacing w:before="0" w:after="0"/>
        <w:ind w:left="0" w:right="0" w:firstLine="49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 Personal Liability of Directors, Officers, Employees or Securityholders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and the debt securities, including any claim or controversy arising out of or relating to the indenture or the debt securities, will be governed by the laws of the State of New York.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4" w:name="ifb3ca8b1cf454a9998e89fcb93f5bdfb"/>
      <w:bookmarkEnd w:id="94"/>
      <w:r>
        <w:rPr>
          <w:rFonts w:ascii="Times New Roman;serif" w:hAnsi="Times New Roman;serif"/>
          <w:b/>
          <w:color w:val="000000"/>
          <w:sz w:val="20"/>
        </w:rPr>
        <w:t>DESCRIPTION OF WARRANTS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warrants for the purchase of our ordinary shares or preferred shares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particular terms of any issue of warrants will be described in the prospectus supplement relating to the issue. Those terms may include: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number of ordinary shares or preferred shares purchasable upon the exercise of warrants to purchase such shares and the price at which such number of shares may be purchased upon such exercise;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designation, stated value and terms (including, without limitation, liquidation, dividend, conversion and voting rights) of the series of preferred shares purchasable upon exercise of warrants to purchase preferred shares;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principal amount of debt securities that may be purchased upon exercise of a debt warrant and the exercise price for the warrants, which may be payable in cash, securities or other property;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 if any, on and after which the warrants and the related debt securities, preferred shares or ordinary shares will be separately transferable;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terms of any rights to redeem or call the warrants;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 on which the right to exercise the warrants will commence and the date on which the right will expire;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U.S. federal income tax consequences applicable to the warrants;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additional terms of the warrants, including terms, procedures, and limitations relating to the exchange, exercise and settlement of the warrants.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equity warrants will not be entitled to: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vote, consent or receive dividends;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receive notice as shareholders with respect to any meeting of shareholders for the election of our directors or any other matter;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exercise any rights as shareholders of Crescent.</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warrant will entitle its holder to purchase the principal amount of debt securities or the number preferred shares or ordinary shares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ordinary shares or preferred shares are exercised, the holders of the warrants will not have any rights of holders of the underlying ordinary shares or preferred shares, including any rights to receive dividends or payments upon any liquidation, dissolution or winding up on the ordinary shares or preferred shares, if 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5" w:name="i2491d2c0c9e845f288ecc6fb3b4cdd00"/>
      <w:bookmarkEnd w:id="95"/>
      <w:r>
        <w:rPr>
          <w:rFonts w:ascii="Times New Roman;serif" w:hAnsi="Times New Roman;serif"/>
          <w:b/>
          <w:color w:val="000000"/>
          <w:sz w:val="20"/>
        </w:rPr>
        <w:t>DESCRIPTION OF UNITS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offer any units, certain terms of that series of units will be described in the applicable prospectus supplement, including, without limitation, the following, as applicable: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title of the series of units;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identification and description of the separate constituent securities comprising the units;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price or prices at which the units will be issued;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date, if any, on and after which the constituent securities comprising the units will be separately transferable;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 discussion of certain U.S. federal income tax considerations applicable to the units;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terms of the units and their constituent securities.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6" w:name="i21a9b412b2c74fc4b839cf5025967a99"/>
      <w:bookmarkEnd w:id="96"/>
      <w:r>
        <w:rPr>
          <w:rFonts w:ascii="Times New Roman;serif" w:hAnsi="Times New Roman;serif"/>
          <w:b/>
          <w:color w:val="000000"/>
          <w:sz w:val="20"/>
        </w:rPr>
        <w:t xml:space="preserve">PLAN OF DISTRIBUTION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at a fixed price or prices, which may be changed;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at market prices prevailing at the time of sale;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at prices related to such prevailing market prices;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ordinary shares will be listed on the Nasdaq Capital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specific terms of any lock-up provisions in respect of any given offering will be described in the applicable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dealers and agents may engage in transactions with us, or perform services for us, in the ordinary course of business for which they receive compensation.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200"/>
        <w:jc w:val="center"/>
        <w:rPr>
          <w:rFonts w:ascii="Times New Roman;serif" w:hAnsi="Times New Roman;serif"/>
          <w:b/>
          <w:color w:val="000000"/>
          <w:sz w:val="20"/>
        </w:rPr>
      </w:pPr>
      <w:bookmarkStart w:id="97" w:name="i2f1cf742f99844c094117576b807cb8a"/>
      <w:bookmarkEnd w:id="97"/>
      <w:r>
        <w:rPr>
          <w:rFonts w:ascii="Times New Roman;serif" w:hAnsi="Times New Roman;serif"/>
          <w:b/>
          <w:color w:val="000000"/>
          <w:sz w:val="20"/>
        </w:rPr>
        <w:t xml:space="preserve">LEGAL MATTERS </w:t>
      </w:r>
    </w:p>
    <w:p>
      <w:pPr>
        <w:pStyle w:val="TextBody"/>
        <w:bidi w:val="0"/>
        <w:spacing w:lineRule="auto" w:line="288" w:before="24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matters with respect to U.S. federal and New York State law will be passed upon for us by Latham &amp; Watkins LLP. Walkers (Cayman) LLP will pass upon the validity of the securities offered in this prospectus with respect to the Ordinary Shares and matters of Cayman Islands law. Additional legal matters may be passed upon for us, or any underwriters, dealers or agents, by counsel that we will name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00"/>
        <w:jc w:val="center"/>
        <w:rPr>
          <w:rFonts w:ascii="Times New Roman;serif" w:hAnsi="Times New Roman;serif"/>
          <w:b/>
          <w:color w:val="000000"/>
          <w:sz w:val="20"/>
        </w:rPr>
      </w:pPr>
      <w:bookmarkStart w:id="98" w:name="i7b66c7097720449cb57c9d2283613454"/>
      <w:bookmarkEnd w:id="98"/>
      <w:r>
        <w:rPr>
          <w:rFonts w:ascii="Times New Roman;serif" w:hAnsi="Times New Roman;serif"/>
          <w:b/>
          <w:color w:val="000000"/>
          <w:sz w:val="20"/>
        </w:rPr>
        <w:t xml:space="preserve">EXPERTS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60" w:after="283"/>
        <w:jc w:val="center"/>
        <w:rPr/>
      </w:pPr>
      <w:r>
        <w:rPr/>
      </w:r>
    </w:p>
    <w:p>
      <w:pPr>
        <w:pStyle w:val="TextBody"/>
        <w:bidi w:val="0"/>
        <w:spacing w:before="0" w:after="0"/>
        <w:jc w:val="center"/>
        <w:rPr/>
      </w:pPr>
      <w:r>
        <w:rPr/>
        <w:drawing>
          <wp:inline distT="0" distB="0" distL="0" distR="0">
            <wp:extent cx="2009775" cy="733425"/>
            <wp:effectExtent l="0" t="0" r="0" b="0"/>
            <wp:docPr id="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 descr=""/>
                    <pic:cNvPicPr>
                      <a:picLocks noChangeAspect="1" noChangeArrowheads="1"/>
                    </pic:cNvPicPr>
                  </pic:nvPicPr>
                  <pic:blipFill>
                    <a:blip r:embed="rId19"/>
                    <a:stretch>
                      <a:fillRect/>
                    </a:stretch>
                  </pic:blipFill>
                  <pic:spPr bwMode="auto">
                    <a:xfrm>
                      <a:off x="0" y="0"/>
                      <a:ext cx="2009775" cy="733425"/>
                    </a:xfrm>
                    <a:prstGeom prst="rect">
                      <a:avLst/>
                    </a:prstGeom>
                  </pic:spPr>
                </pic:pic>
              </a:graphicData>
            </a:graphic>
          </wp:inline>
        </w:drawing>
      </w:r>
    </w:p>
    <w:p>
      <w:pPr>
        <w:pStyle w:val="TextBody"/>
        <w:bidi w:val="0"/>
        <w:spacing w:before="320" w:after="283"/>
        <w:jc w:val="center"/>
        <w:rPr/>
      </w:pPr>
      <w:r>
        <w:rPr/>
      </w:r>
    </w:p>
    <w:p>
      <w:pPr>
        <w:pStyle w:val="TextBody"/>
        <w:bidi w:val="0"/>
        <w:spacing w:lineRule="auto" w:line="288" w:before="320" w:after="283"/>
        <w:jc w:val="center"/>
        <w:rPr>
          <w:rFonts w:ascii="Times New Roman;serif" w:hAnsi="Times New Roman;serif"/>
          <w:b/>
          <w:color w:val="000000"/>
          <w:sz w:val="32"/>
        </w:rPr>
      </w:pPr>
      <w:r>
        <w:rPr>
          <w:rFonts w:ascii="Times New Roman;serif" w:hAnsi="Times New Roman;serif"/>
          <w:b/>
          <w:color w:val="000000"/>
          <w:sz w:val="32"/>
        </w:rPr>
        <w:t>8,094,793 Ordinary Shares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525,897 Pre-Funded Warrants to Purchase Ordinary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80" w:after="283"/>
        <w:jc w:val="center"/>
        <w:rPr/>
      </w:pPr>
      <w:r>
        <w:rPr/>
      </w:r>
    </w:p>
    <w:tbl>
      <w:tblPr>
        <w:tblW w:w="3269" w:type="dxa"/>
        <w:jc w:val="center"/>
        <w:tblInd w:w="0" w:type="dxa"/>
        <w:tblLayout w:type="fixed"/>
        <w:tblCellMar>
          <w:top w:w="28" w:type="dxa"/>
          <w:left w:w="28" w:type="dxa"/>
          <w:bottom w:w="28" w:type="dxa"/>
          <w:right w:w="28" w:type="dxa"/>
        </w:tblCellMar>
      </w:tblPr>
      <w:tblGrid>
        <w:gridCol w:w="1044"/>
        <w:gridCol w:w="918"/>
        <w:gridCol w:w="1307"/>
      </w:tblGrid>
      <w:tr>
        <w:trPr/>
        <w:tc>
          <w:tcPr>
            <w:tcW w:w="10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Jefferies</w:t>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TD Cowen</w:t>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Guggenheim Securities</w:t>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Cantor</w:t>
            </w:r>
          </w:p>
        </w:tc>
      </w:tr>
      <w:tr>
        <w:trPr/>
        <w:tc>
          <w:tcPr>
            <w:tcW w:w="326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32"/>
              </w:rPr>
            </w:pPr>
            <w:r>
              <w:rPr>
                <w:rFonts w:ascii="Times New Roman;serif" w:hAnsi="Times New Roman;serif"/>
                <w:b/>
                <w:color w:val="000000"/>
                <w:sz w:val="32"/>
              </w:rPr>
              <w:t>LifeSci Capital</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jc w:val="center"/>
        <w:rPr>
          <w:rFonts w:ascii="Times New Roman;serif" w:hAnsi="Times New Roman;serif"/>
          <w:b w:val="false"/>
          <w:color w:val="000000"/>
          <w:sz w:val="22"/>
        </w:rPr>
      </w:pPr>
      <w:r>
        <w:rPr>
          <w:rFonts w:ascii="Times New Roman;serif" w:hAnsi="Times New Roman;serif"/>
          <w:b w:val="false"/>
          <w:color w:val="000000"/>
          <w:sz w:val="22"/>
        </w:rPr>
        <w:t xml:space="preserve">July 14, 2026 </w:t>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253689/000162828026011983/cbio-20251231.htm" TargetMode="External"/><Relationship Id="rId4" Type="http://schemas.openxmlformats.org/officeDocument/2006/relationships/hyperlink" Target="https://www.sec.gov/ix?doc=/Archives/edgar/data/1253689/000162828026028362/cbio-20260331.htm" TargetMode="External"/><Relationship Id="rId5" Type="http://schemas.openxmlformats.org/officeDocument/2006/relationships/hyperlink" Target="https://www.sec.gov/ix?doc=/Archives/edgar/data/0001253689/000162828026044713/cbio-20260331.htm" TargetMode="External"/><Relationship Id="rId6" Type="http://schemas.openxmlformats.org/officeDocument/2006/relationships/hyperlink" Target="https://www.sec.gov/ix?doc=/Archives/edgar/data/1253689/000162828026026282/cbio-20260421.htm" TargetMode="External"/><Relationship Id="rId7" Type="http://schemas.openxmlformats.org/officeDocument/2006/relationships/hyperlink" Target="https://www.sec.gov/ix?doc=/Archives/edgar/data/1253689/000162828026040051/cbio-20260602.htm" TargetMode="External"/><Relationship Id="rId8" Type="http://schemas.openxmlformats.org/officeDocument/2006/relationships/hyperlink" Target="https://www.sec.gov/Archives/edgar/data/1253689/000162828025049873/form8-aaxq32025.htm" TargetMode="External"/><Relationship Id="rId9" Type="http://schemas.openxmlformats.org/officeDocument/2006/relationships/hyperlink" Target="https://www.sec.gov/Archives/edgar/data/1253689/000162828026011983/ex43-cbioxdescriptionofsec.htm" TargetMode="Externa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hyperlink" Target="https://www.sec.gov/ix?doc=/Archives/edgar/data/1253689/000162828026011983/cbio-20251231.htm" TargetMode="External"/><Relationship Id="rId13" Type="http://schemas.openxmlformats.org/officeDocument/2006/relationships/hyperlink" Target="https://www.sec.gov/ix?doc=/Archives/edgar/data/1253689/000162828026028362/cbio-20260331.htm" TargetMode="External"/><Relationship Id="rId14" Type="http://schemas.openxmlformats.org/officeDocument/2006/relationships/hyperlink" Target="https://www.sec.gov/ix?doc=/Archives/edgar/data/0001253689/000162828026044713/cbio-20260331.htm" TargetMode="External"/><Relationship Id="rId15" Type="http://schemas.openxmlformats.org/officeDocument/2006/relationships/hyperlink" Target="https://www.sec.gov/ix?doc=/Archives/edgar/data/1253689/000162828026026282/cbio-20260421.htm" TargetMode="External"/><Relationship Id="rId16" Type="http://schemas.openxmlformats.org/officeDocument/2006/relationships/hyperlink" Target="https://www.sec.gov/ix?doc=/Archives/edgar/data/1253689/000162828026040051/cbio-20260602.htm" TargetMode="External"/><Relationship Id="rId17" Type="http://schemas.openxmlformats.org/officeDocument/2006/relationships/hyperlink" Target="https://www.sec.gov/Archives/edgar/data/1253689/000162828025049873/form8-aaxq32025.htm" TargetMode="External"/><Relationship Id="rId18" Type="http://schemas.openxmlformats.org/officeDocument/2006/relationships/hyperlink" Target="https://www.sec.gov/Archives/edgar/data/1253689/000162828026011983/ex43-cbioxdescriptionofsec.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33273</Words>
  <Characters>177256</Characters>
  <CharactersWithSpaces>209904</CharactersWithSpaces>
  <Paragraphs>920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