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McNeill Jonathan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(Last)</w:t>
            </w:r>
          </w:p>
        </w:tc>
        <w:tc>
          <w:tcPr>
            <w:tcW w:w="1000" w:type="dxa"/>
            <w:vAlign w:val="bottom"/>
          </w:tcPr>
          <w:p>
            <w:pPr>
              <w:ind w:left="1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CRESCENT BIOPHARMA,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300 FIFTH AVENUE</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CRESCENT BIOPHARMA,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CBIO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2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780"/>
              <w:spacing w:after="0"/>
              <w:rPr>
                <w:sz w:val="20"/>
                <w:szCs w:val="20"/>
                <w:color w:val="auto"/>
              </w:rPr>
            </w:pPr>
            <w:r>
              <w:rPr>
                <w:rFonts w:ascii="Times New Roman" w:cs="Times New Roman" w:eastAsia="Times New Roman" w:hAnsi="Times New Roman"/>
                <w:sz w:val="17"/>
                <w:szCs w:val="17"/>
                <w:color w:val="0000FF"/>
              </w:rPr>
              <w:t>President and COO</w:t>
            </w:r>
          </w:p>
        </w:tc>
        <w:tc>
          <w:tcPr>
            <w:tcW w:w="0" w:type="dxa"/>
            <w:vAlign w:val="bottom"/>
          </w:tcPr>
          <w:p>
            <w:pPr>
              <w:spacing w:after="0"/>
              <w:rPr>
                <w:sz w:val="1"/>
                <w:szCs w:val="1"/>
                <w:color w:val="auto"/>
              </w:rPr>
            </w:pPr>
          </w:p>
        </w:tc>
      </w:tr>
      <w:tr>
        <w:trPr>
          <w:trHeight w:val="226"/>
        </w:trPr>
        <w:tc>
          <w:tcPr>
            <w:tcW w:w="30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06/22/2026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20,549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17.99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139,158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automatically sold by the Reporting Person to satisfy tax withholding obligations in connection with the settlement of restricted stock units granted to the Reporting Person on December 15, 2025 and March 17, 2025. The sales reported in this Form 4 were effected pursuant to a Rule 10b5-1 instruction adopted by the reporting person on February 25, 2026, solely with the intent to cover taxes in connection with the vesting of the restricted stock units.</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$16.88 to $18.86, inclusive. The Reporting Person undertakes to provide to the Issuer, any security holder of the Issuer or the staff of the Securities and Exchange Commission, upon request, full information regarding the number of shares sold at each separate price at which the transactions were effected.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Barbara Bispham,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45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4457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Jonathan</w:t>
        <w:tab/>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McNeill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63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6639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24673" TargetMode="External"/><Relationship Id="rId14" Type="http://schemas.openxmlformats.org/officeDocument/2006/relationships/hyperlink" Target="http://www.sec.gov/cgi-bin/browse-edgar?action=getcompany&amp;CIK=00012536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2026-06-23T15:03:30Z</dcterms:created>
  <dcterms:modified xsi:type="dcterms:W3CDTF">2026-06-23T15:03:30Z</dcterms:modified>
</cp:coreProperties>
</file>