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14, 2026</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Crescent Biopharma,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w:t>
      </w:r>
    </w:p>
    <w:tbl>
      <w:tblPr>
        <w:tblW w:w="5563" w:type="dxa"/>
        <w:jc w:val="left"/>
        <w:tblInd w:w="0" w:type="dxa"/>
        <w:tblLayout w:type="fixed"/>
        <w:tblCellMar>
          <w:top w:w="28" w:type="dxa"/>
          <w:left w:w="28" w:type="dxa"/>
          <w:bottom w:w="28" w:type="dxa"/>
          <w:right w:w="28" w:type="dxa"/>
        </w:tblCellMar>
      </w:tblPr>
      <w:tblGrid>
        <w:gridCol w:w="1091"/>
        <w:gridCol w:w="960"/>
        <w:gridCol w:w="964"/>
        <w:gridCol w:w="353"/>
        <w:gridCol w:w="353"/>
        <w:gridCol w:w="358"/>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Cayman Islands</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001-36177</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06-1686563</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Fifth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Waltham, MA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02451</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430-5595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w:t>
      </w:r>
    </w:p>
    <w:p>
      <w:pPr>
        <w:pStyle w:val="TextBody"/>
        <w:bidi w:val="0"/>
        <w:spacing w:lineRule="auto" w:line="288" w:before="0" w:after="12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291" w:type="dxa"/>
        <w:jc w:val="left"/>
        <w:tblInd w:w="0" w:type="dxa"/>
        <w:tblLayout w:type="fixed"/>
        <w:tblCellMar>
          <w:top w:w="28" w:type="dxa"/>
          <w:left w:w="28" w:type="dxa"/>
          <w:bottom w:w="28" w:type="dxa"/>
          <w:right w:w="28" w:type="dxa"/>
        </w:tblCellMar>
      </w:tblPr>
      <w:tblGrid>
        <w:gridCol w:w="1410"/>
        <w:gridCol w:w="1236"/>
        <w:gridCol w:w="1253"/>
        <w:gridCol w:w="109"/>
        <w:gridCol w:w="109"/>
        <w:gridCol w:w="109"/>
        <w:gridCol w:w="474"/>
        <w:gridCol w:w="474"/>
        <w:gridCol w:w="476"/>
        <w:gridCol w:w="109"/>
        <w:gridCol w:w="109"/>
        <w:gridCol w:w="109"/>
        <w:gridCol w:w="970"/>
        <w:gridCol w:w="970"/>
        <w:gridCol w:w="1374"/>
      </w:tblGrid>
      <w:tr>
        <w:trPr/>
        <w:tc>
          <w:tcPr>
            <w:tcW w:w="141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Ordinary Shares,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CBIO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14, 2026, Crescent Biopharma, Inc. (“Crescent” or the “Company”) entered into an underwriting agreement (the “Underwriting Agreement”) with Jefferies LLC and TD Securities (USA) LLC, as representatives of the several underwriters named therein (collectively, the “Underwriters”), relating to the issuance and sale in a public offering of (i) 8,094,793 of the Company’s ordinary shares, par value US$0.001 per share (the "Ordinary Shares," and such Ordinary Shares being offered, the "Shares"), at an offering price to the public of $14.50 per Share, and (ii) with respect to certain investors, in lieu of Ordinary Shares, pre-funded warrants to purchase an aggregate of 525,897 Ordinary Shares at a price to the public of $14.499 per pre-funded warrant (the “Pre-Funded Warrants”), which represents the per share price for the Shares less a nominal $0.001 per share exercise price for each Pre-Funded Warrant. The Underwriters have agreed to purchase the Shares from the Company pursuant to the Underwriting Agreement at a price of $13.63 per share and Pre-Funded Warrants at a price of $13.629 per pre-funded warrant. In addition, under the terms of the Underwriting Agreement, the Company has granted the Underwriters a 30-day option to purchase up to 1,293,103 additional Ordinary Shares at the public offering price, less underwriting discounts and commissions. All of the Shares and Pre-Funded Warrants are being sold by the Company. The net proceeds to the Company from this offering are expected to be approximately $115.9 million, or approximately $133.5 million if the Underwriters’ option to purchase additional shares is exercised in full, after deducting underwriting discounts and commissions and estimated offering expenses. The offering is expected to close on July 16, 2026, subject to the satisfaction of customary closing conditions.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Each Pre-Funded Warrant will have an exercise price of $0.001, will be immediately exercisable on the date of issuance and will not expire. Under the terms of the Pre-Funded Warrants, the Company may not effect the exercise of any Pre-Funded Warrant, and a holder will not be entitled to exercise any portion of any Pre-Funded Warrant, which, upon giving effect to such exercise, would cause a holder (together with its affiliates) to own more than a specified beneficial ownership limitation of either 4.99%, 9.99% or 19.99% (as selected by such holder prior to the issuance of the Pre-Funded Warrant) of the number of Ordinary Shares outstanding immediately after giving effect to such exercise, as such percentage ownership is determined in accordance with the terms of the Pre-Funded Warrants. However, any holder may increase or decrease such percentage to any other percentage not in excess of 19.99%, provided that any increase in such percentage shall not be effective until 61 days after such notice is delivered to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exercise price and the number of Ordinary Shares issuable upon exercise of each Pre-Funded Warrant will be subject to appropriate adjustment in the event of certain stock dividends and distributions, stock splits, stock combinations, reclassifications or similar events affecting the Ordinary Shares.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event of certain fundamental transactions (as described in the Pre-Funded Warrants), a holder of Pre-Funded Warrants will be entitled to receive, upon exercise of the Pre-Funded Warrants, the kind and amount of securities, cash or property that such holder would have received had they exercised in full the Pre-Funded Warrants immediately prior to such fundamental transaction without regard to any limitations on exercise contained in the Pre-Funded Warrants.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Based on the Company’s planned use of the net proceeds of this offering and its existing cash and cash equivalents, the Company estimates that such funds will be sufficient to enable it to fund our projected operating expenses, working capital and capital expenditure needs into the second half of 2028. This estimate is based on assumptions that may prove to be incorrect, and the Company could utilize available capital resources sooner than expected.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offering is being made pursuant to the Company’s shelf registration statement on Form S-3 (Registration Statement No. 333-297199), including the prospectus included therein, previously filed with and declared effective by the Securities and Exchange Commission (the “SEC”), and a prospectus supplement and the accompanying prospectus filed with the SEC pursuant to Rule 424(b) under the Securities Act of 1933, as amended (the “Securities Act”).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Underwriting Agreement and the Pre-Funded Warrants is not complete and is qualified in its entirety by reference to the full text of the Underwriting Agreement and form of Pre-Funded Warrant, copies of which are filed as Exhibit 1.1 and Exhibit 4.1, respectively, to this report and which are incorporated by reference herein. A copy of the opinion of Walkers (Cayman) LLP, relating to the validity under Cayman Islands law of the issuance and sale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and a copy of the opinion of Latham &amp; Watkins LLP, relating to the legality of the issuance and sale of the Pre-Funded Warrants in this offering are attached as Exhibit 5.1 and Exhibit 5.2, respectively, to this report.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issued press releases on July 14, 2026 announcing the commencement and pricing of the offering, which press releases are attached as Exhibits 99.1 and 99.2, respectively, to this report.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40"/>
        <w:jc w:val="both"/>
        <w:rPr>
          <w:rFonts w:ascii="Times New Roman;serif" w:hAnsi="Times New Roman;serif"/>
          <w:b w:val="false"/>
          <w:color w:val="000000"/>
          <w:sz w:val="20"/>
        </w:rPr>
      </w:pPr>
      <w:r>
        <w:rPr>
          <w:rFonts w:ascii="Times New Roman;serif" w:hAnsi="Times New Roman;serif"/>
          <w:b w:val="false"/>
          <w:color w:val="000000"/>
          <w:sz w:val="20"/>
        </w:rPr>
        <w:t>The Company cautions you that statements included in this report that are not a description of historical facts are forward-looking statements within the meaning of the Private Securities Litigation Reform Act of 1995. These forward-looking statements include statements regarding the completion of the offering, including the anticipated closing date, the exercise of the Underwriters’ option to purchase additional shares, the expected net proceeds from the offering and the anticipated use thereof. The inclusion of forward-looking statements should not be regarded as a representation by the Company that any of these results will be achieved. Actual results may differ from those set forth in this report due to the risks and uncertainties associated with market conditions and the satisfaction of customary closing conditions related to the offering, as well as risks and uncertainties inherent in the Company’s business, including those described in the Company’s prior filings with the SEC, including under the heading “Risk Factors” in its annual report on Form 10-K for the fiscal year ended December 31, 2025, its quarterly report on Form 10-Q for the quarter ended March 31, 2026, and any subsequent filings with the SEC. New risks and uncertainties may emerge from time to time, and it is not possible to predict all risks and uncertainties. No representations or warranties (expressed or implied) are made about the accuracy of any such forward-looking statements. You are cautioned not to place undue reliance on these forward-looking statements, which speak only as of the date hereof, and the Company undertakes no obligation to revise or update this report to reflect events or circumstances after the date hereof,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290"/>
        <w:gridCol w:w="255"/>
        <w:gridCol w:w="257"/>
        <w:gridCol w:w="109"/>
        <w:gridCol w:w="109"/>
        <w:gridCol w:w="109"/>
        <w:gridCol w:w="2643"/>
        <w:gridCol w:w="2643"/>
        <w:gridCol w:w="3790"/>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8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1underwritingagree.htm">
              <w:r>
                <w:rPr>
                  <w:rStyle w:val="InternetLink"/>
                  <w:rFonts w:ascii="Times New Roman;serif" w:hAnsi="Times New Roman;serif"/>
                  <w:b w:val="false"/>
                  <w:color w:val="0000FF"/>
                  <w:sz w:val="20"/>
                  <w:u w:val="single"/>
                </w:rPr>
                <w:t>Underwriting Agreement, dated July 14, 2026, by and among Crescent Biopharma, Inc. and Jefferies LLC and TD Securities (USA) LLC, as representatives of the several underwriters named therein</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41formofpre-fundedw.htm">
              <w:r>
                <w:rPr>
                  <w:rStyle w:val="InternetLink"/>
                  <w:rFonts w:ascii="Times New Roman;serif" w:hAnsi="Times New Roman;serif"/>
                  <w:b w:val="false"/>
                  <w:color w:val="0000FF"/>
                  <w:sz w:val="20"/>
                  <w:u w:val="single"/>
                </w:rPr>
                <w:t>Form of Pre-Funded Warrant</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1walkersopiniondeal.htm">
              <w:r>
                <w:rPr>
                  <w:rStyle w:val="InternetLink"/>
                  <w:rFonts w:ascii="Times New Roman;serif" w:hAnsi="Times New Roman;serif"/>
                  <w:b w:val="false"/>
                  <w:color w:val="0000FF"/>
                  <w:sz w:val="20"/>
                  <w:u w:val="single"/>
                </w:rPr>
                <w:t>Opinion of Walkers (Cayman) LLP</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2lathamopiniondeal.htm">
              <w:r>
                <w:rPr>
                  <w:rStyle w:val="InternetLink"/>
                  <w:rFonts w:ascii="Times New Roman;serif" w:hAnsi="Times New Roman;serif"/>
                  <w:b w:val="false"/>
                  <w:color w:val="0000FF"/>
                  <w:sz w:val="20"/>
                  <w:u w:val="single"/>
                </w:rPr>
                <w:t>Opinion of Latham &amp; Watkins LLP</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1walkersopiniondeal.htm">
              <w:r>
                <w:rPr>
                  <w:rStyle w:val="InternetLink"/>
                  <w:rFonts w:ascii="Times New Roman;serif" w:hAnsi="Times New Roman;serif"/>
                  <w:b w:val="false"/>
                  <w:color w:val="0000FF"/>
                  <w:sz w:val="20"/>
                  <w:u w:val="single"/>
                </w:rPr>
                <w:t>Consent of Walkers (Cayman) LLP (included in Exhibit 5.1)</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2lathamopiniondeal.htm">
              <w:r>
                <w:rPr>
                  <w:rStyle w:val="InternetLink"/>
                  <w:rFonts w:ascii="Times New Roman;serif" w:hAnsi="Times New Roman;serif"/>
                  <w:b w:val="false"/>
                  <w:color w:val="0000FF"/>
                  <w:sz w:val="20"/>
                  <w:u w:val="single"/>
                </w:rPr>
                <w:t>Consent of Latham &amp; Watkins LLP (included in Exhibit 5.2)</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1launchpressrelea.htm">
              <w:r>
                <w:rPr>
                  <w:rStyle w:val="InternetLink"/>
                  <w:rFonts w:ascii="Times New Roman;serif" w:hAnsi="Times New Roman;serif"/>
                  <w:b w:val="false"/>
                  <w:color w:val="0000FF"/>
                  <w:sz w:val="20"/>
                  <w:u w:val="single"/>
                </w:rPr>
                <w:t>Press Release, dated July 14, 2026</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2pricingpressrele.htm">
              <w:r>
                <w:rPr>
                  <w:rStyle w:val="InternetLink"/>
                  <w:rFonts w:ascii="Times New Roman;serif" w:hAnsi="Times New Roman;serif"/>
                  <w:b w:val="false"/>
                  <w:color w:val="0000FF"/>
                  <w:sz w:val="20"/>
                  <w:u w:val="single"/>
                </w:rPr>
                <w:t>Press Release, dated July 14, 2026</w:t>
              </w:r>
            </w:hyperlink>
          </w:p>
        </w:tc>
      </w:tr>
      <w:tr>
        <w:trPr/>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029" w:type="dxa"/>
        <w:jc w:val="left"/>
        <w:tblInd w:w="0" w:type="dxa"/>
        <w:tblLayout w:type="fixed"/>
        <w:tblCellMar>
          <w:top w:w="28" w:type="dxa"/>
          <w:left w:w="28" w:type="dxa"/>
          <w:bottom w:w="28" w:type="dxa"/>
          <w:right w:w="28" w:type="dxa"/>
        </w:tblCellMar>
      </w:tblPr>
      <w:tblGrid>
        <w:gridCol w:w="618"/>
        <w:gridCol w:w="544"/>
        <w:gridCol w:w="547"/>
        <w:gridCol w:w="308"/>
        <w:gridCol w:w="308"/>
        <w:gridCol w:w="308"/>
        <w:gridCol w:w="337"/>
        <w:gridCol w:w="337"/>
        <w:gridCol w:w="337"/>
        <w:gridCol w:w="337"/>
        <w:gridCol w:w="337"/>
        <w:gridCol w:w="33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CRESCENT BIOPHARMA,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15, 2026</w:t>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Joshua Brumm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2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Joshua Brumm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2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0"/>
        <w:jc w:val="right"/>
        <w:rPr>
          <w:rFonts w:ascii="Times New Roman;serif" w:hAnsi="Times New Roman;serif"/>
          <w:b/>
          <w:color w:val="000000"/>
          <w:sz w:val="22"/>
        </w:rPr>
      </w:pPr>
      <w:r>
        <w:rPr>
          <w:rFonts w:ascii="Times New Roman;serif" w:hAnsi="Times New Roman;serif"/>
          <w:b/>
          <w:color w:val="000000"/>
          <w:sz w:val="22"/>
        </w:rPr>
        <w:t>Exhibit 1.1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200" w:after="120"/>
        <w:jc w:val="center"/>
        <w:rPr>
          <w:rFonts w:ascii="Times New Roman;serif" w:hAnsi="Times New Roman;serif"/>
          <w:b/>
          <w:color w:val="000000"/>
          <w:sz w:val="22"/>
        </w:rPr>
      </w:pPr>
      <w:r>
        <w:rPr>
          <w:rFonts w:ascii="Times New Roman;serif" w:hAnsi="Times New Roman;serif"/>
          <w:b/>
          <w:color w:val="000000"/>
          <w:sz w:val="22"/>
        </w:rPr>
        <w:t xml:space="preserve">8,094,793 Shares </w:t>
      </w:r>
    </w:p>
    <w:p>
      <w:pPr>
        <w:pStyle w:val="TextBody"/>
        <w:bidi w:val="0"/>
        <w:spacing w:lineRule="auto" w:line="288" w:before="200" w:after="120"/>
        <w:jc w:val="center"/>
        <w:rPr>
          <w:rFonts w:ascii="Times New Roman;serif" w:hAnsi="Times New Roman;serif"/>
          <w:b/>
          <w:color w:val="000000"/>
          <w:sz w:val="22"/>
        </w:rPr>
      </w:pPr>
      <w:r>
        <w:rPr>
          <w:rFonts w:ascii="Times New Roman;serif" w:hAnsi="Times New Roman;serif"/>
          <w:b/>
          <w:color w:val="000000"/>
          <w:sz w:val="22"/>
        </w:rPr>
        <w:t>Pre-Funded Warrants to Purchase 525,897 Shares</w:t>
      </w:r>
    </w:p>
    <w:p>
      <w:pPr>
        <w:pStyle w:val="TextBody"/>
        <w:bidi w:val="0"/>
        <w:spacing w:lineRule="auto" w:line="288" w:before="200" w:after="120"/>
        <w:jc w:val="center"/>
        <w:rPr>
          <w:rFonts w:ascii="Times New Roman;serif" w:hAnsi="Times New Roman;serif"/>
          <w:b/>
          <w:color w:val="000000"/>
          <w:sz w:val="22"/>
        </w:rPr>
      </w:pPr>
      <w:r>
        <w:rPr>
          <w:rFonts w:ascii="Times New Roman;serif" w:hAnsi="Times New Roman;serif"/>
          <w:b/>
          <w:color w:val="000000"/>
          <w:sz w:val="22"/>
        </w:rPr>
        <w:t>Crescent Biopharma, Inc.</w:t>
      </w:r>
    </w:p>
    <w:p>
      <w:pPr>
        <w:pStyle w:val="TextBody"/>
        <w:bidi w:val="0"/>
        <w:spacing w:before="0" w:after="240"/>
        <w:jc w:val="center"/>
        <w:rPr/>
      </w:pPr>
      <w:r>
        <w:rPr/>
      </w:r>
    </w:p>
    <w:p>
      <w:pPr>
        <w:pStyle w:val="TextBody"/>
        <w:bidi w:val="0"/>
        <w:spacing w:lineRule="auto" w:line="288" w:before="0" w:after="12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UNDERWRITING AGREEMENT </w: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July 14,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JEFFERIES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TD SECURITIES (USA) LLC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Representatives of the several Underwriters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 JEFFERIES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520 Madison Avenue</w:t>
        <w:br/>
        <w:t>New York, New York 10022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 TD SECURITIES (USA)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 Vanderbilt Avenue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New York, New York 10017 </w: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0"/>
        <w:jc w:val="left"/>
        <w:rPr/>
      </w:pPr>
      <w:r>
        <w:rPr>
          <w:color w:val="000000"/>
        </w:rPr>
        <w:t>    </w:t>
      </w:r>
      <w:r>
        <w:rPr>
          <w:rFonts w:ascii="Times New Roman;serif" w:hAnsi="Times New Roman;serif"/>
          <w:b/>
          <w:i/>
          <w:color w:val="000000"/>
          <w:sz w:val="22"/>
        </w:rPr>
        <w:t>Introductory.</w:t>
      </w:r>
      <w:r>
        <w:rPr>
          <w:color w:val="000000"/>
        </w:rPr>
        <w:t xml:space="preserve"> </w:t>
      </w:r>
      <w:r>
        <w:rPr>
          <w:rFonts w:ascii="Times New Roman;serif" w:hAnsi="Times New Roman;serif"/>
          <w:b w:val="false"/>
          <w:color w:val="000000"/>
          <w:sz w:val="22"/>
        </w:rPr>
        <w:t>Crescent Biopharma, Inc., a Cayman Islands exempted company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xml:space="preserve">), proposes to issue and sell to the several underwriters named in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Underwriters</w:t>
      </w:r>
      <w:r>
        <w:rPr>
          <w:color w:val="000000"/>
        </w:rPr>
        <w:t>”</w:t>
      </w:r>
      <w:r>
        <w:rPr>
          <w:rFonts w:ascii="Times New Roman;serif" w:hAnsi="Times New Roman;serif"/>
          <w:b w:val="false"/>
          <w:color w:val="000000"/>
          <w:sz w:val="22"/>
        </w:rPr>
        <w:t>) (i) an aggregate of 8,094,793 ordinary shares, par value US$0.001 per share (the “</w:t>
      </w:r>
      <w:r>
        <w:rPr>
          <w:rFonts w:ascii="Times New Roman;serif" w:hAnsi="Times New Roman;serif"/>
          <w:b/>
          <w:color w:val="000000"/>
          <w:sz w:val="22"/>
        </w:rPr>
        <w:t>Shares</w:t>
      </w:r>
      <w:r>
        <w:rPr>
          <w:color w:val="000000"/>
        </w:rPr>
        <w:t>”</w:t>
      </w:r>
      <w:r>
        <w:rPr>
          <w:rFonts w:ascii="Times New Roman;serif" w:hAnsi="Times New Roman;serif"/>
          <w:b w:val="false"/>
          <w:color w:val="000000"/>
          <w:sz w:val="22"/>
        </w:rPr>
        <w:t>) and (ii) pre-funded warrants to purchase an aggregate of 525,897 Shares in a form to be mutually agreed upon by the Company and the Representatives (the “</w:t>
      </w:r>
      <w:r>
        <w:rPr>
          <w:rFonts w:ascii="Times New Roman;serif" w:hAnsi="Times New Roman;serif"/>
          <w:b/>
          <w:color w:val="000000"/>
          <w:sz w:val="22"/>
        </w:rPr>
        <w:t>Pre-Funded Warrants</w:t>
      </w:r>
      <w:r>
        <w:rPr>
          <w:color w:val="000000"/>
        </w:rPr>
        <w:t>”</w:t>
      </w:r>
      <w:r>
        <w:rPr>
          <w:rFonts w:ascii="Times New Roman;serif" w:hAnsi="Times New Roman;serif"/>
          <w:b w:val="false"/>
          <w:color w:val="000000"/>
          <w:sz w:val="22"/>
        </w:rPr>
        <w:t>). The 8,094,793 Shares to be sold by the Company are called the “</w:t>
      </w:r>
      <w:r>
        <w:rPr>
          <w:rFonts w:ascii="Times New Roman;serif" w:hAnsi="Times New Roman;serif"/>
          <w:b/>
          <w:color w:val="000000"/>
          <w:sz w:val="22"/>
        </w:rPr>
        <w:t>Firm Shares</w:t>
      </w:r>
      <w:r>
        <w:rPr>
          <w:color w:val="000000"/>
        </w:rPr>
        <w:t xml:space="preserve">” </w:t>
      </w:r>
      <w:r>
        <w:rPr>
          <w:rFonts w:ascii="Times New Roman;serif" w:hAnsi="Times New Roman;serif"/>
          <w:b w:val="false"/>
          <w:color w:val="000000"/>
          <w:sz w:val="22"/>
        </w:rPr>
        <w:t>and together with the Pre-Funded Warrants to be sold by the Company are referred to herein as the “</w:t>
      </w:r>
      <w:r>
        <w:rPr>
          <w:rFonts w:ascii="Times New Roman;serif" w:hAnsi="Times New Roman;serif"/>
          <w:b/>
          <w:color w:val="000000"/>
          <w:sz w:val="22"/>
        </w:rPr>
        <w:t>Firm Securities</w:t>
      </w:r>
      <w:r>
        <w:rPr>
          <w:rFonts w:ascii="Times New Roman;serif" w:hAnsi="Times New Roman;serif"/>
          <w:b w:val="false"/>
          <w:color w:val="000000"/>
          <w:sz w:val="22"/>
        </w:rPr>
        <w:t>.” In addition, the Company has granted to the Underwriters an option to purchase up to an additional 1,293,103 Shares as provided in Section 2. The additional 1,293,103 Shares to be sold by the Company pursuant to such option are collectively called the “</w:t>
      </w:r>
      <w:r>
        <w:rPr>
          <w:rFonts w:ascii="Times New Roman;serif" w:hAnsi="Times New Roman;serif"/>
          <w:b/>
          <w:color w:val="000000"/>
          <w:sz w:val="22"/>
        </w:rPr>
        <w:t>Optional Shares</w:t>
      </w:r>
      <w:r>
        <w:rPr>
          <w:rFonts w:ascii="Times New Roman;serif" w:hAnsi="Times New Roman;serif"/>
          <w:b w:val="false"/>
          <w:color w:val="000000"/>
          <w:sz w:val="22"/>
        </w:rPr>
        <w:t>,” and the Optional Shares, if and to the extent such option is exercised, together with the Firm Shares are referred to as the “</w:t>
      </w:r>
      <w:r>
        <w:rPr>
          <w:rFonts w:ascii="Times New Roman;serif" w:hAnsi="Times New Roman;serif"/>
          <w:b/>
          <w:color w:val="000000"/>
          <w:sz w:val="22"/>
        </w:rPr>
        <w:t>Offered Shares</w:t>
      </w:r>
      <w:r>
        <w:rPr>
          <w:rFonts w:ascii="Times New Roman;serif" w:hAnsi="Times New Roman;serif"/>
          <w:b w:val="false"/>
          <w:color w:val="000000"/>
          <w:sz w:val="22"/>
        </w:rPr>
        <w:t>.” The Firm Securities and, if and to the extent such option is exercised, the Optional Shares, are collectively called the “</w:t>
      </w:r>
      <w:r>
        <w:rPr>
          <w:rFonts w:ascii="Times New Roman;serif" w:hAnsi="Times New Roman;serif"/>
          <w:b/>
          <w:color w:val="000000"/>
          <w:sz w:val="22"/>
        </w:rPr>
        <w:t xml:space="preserve">Offered Securities.” </w:t>
      </w:r>
      <w:r>
        <w:rPr>
          <w:rFonts w:ascii="Times New Roman;serif" w:hAnsi="Times New Roman;serif"/>
          <w:b w:val="false"/>
          <w:color w:val="000000"/>
          <w:sz w:val="22"/>
        </w:rPr>
        <w:t>As used herein,</w:t>
      </w:r>
      <w:r>
        <w:rPr>
          <w:color w:val="000000"/>
        </w:rPr>
        <w:t xml:space="preserve"> “</w:t>
      </w:r>
      <w:r>
        <w:rPr>
          <w:rFonts w:ascii="Times New Roman;serif" w:hAnsi="Times New Roman;serif"/>
          <w:b/>
          <w:color w:val="000000"/>
          <w:sz w:val="22"/>
        </w:rPr>
        <w:t>Warrant Shares</w:t>
      </w:r>
      <w:r>
        <w:rPr>
          <w:color w:val="000000"/>
        </w:rPr>
        <w:t xml:space="preserve">” </w:t>
      </w:r>
      <w:r>
        <w:rPr>
          <w:rFonts w:ascii="Times New Roman;serif" w:hAnsi="Times New Roman;serif"/>
          <w:b w:val="false"/>
          <w:color w:val="000000"/>
          <w:sz w:val="22"/>
        </w:rPr>
        <w:t>means the Shares issuable upon exercise of the Pre-Funded Warrants. Jefferies LLC (“</w:t>
      </w:r>
      <w:r>
        <w:rPr>
          <w:rFonts w:ascii="Times New Roman;serif" w:hAnsi="Times New Roman;serif"/>
          <w:b/>
          <w:color w:val="000000"/>
          <w:sz w:val="22"/>
        </w:rPr>
        <w:t>Jefferies</w:t>
      </w:r>
      <w:r>
        <w:rPr>
          <w:color w:val="000000"/>
        </w:rPr>
        <w:t>”</w:t>
      </w:r>
      <w:r>
        <w:rPr>
          <w:rFonts w:ascii="Times New Roman;serif" w:hAnsi="Times New Roman;serif"/>
          <w:b w:val="false"/>
          <w:color w:val="000000"/>
          <w:sz w:val="22"/>
        </w:rPr>
        <w:t>) and TD Securities (USA) LLC (“</w:t>
      </w:r>
      <w:r>
        <w:rPr>
          <w:rFonts w:ascii="Times New Roman;serif" w:hAnsi="Times New Roman;serif"/>
          <w:b/>
          <w:color w:val="000000"/>
          <w:sz w:val="22"/>
        </w:rPr>
        <w:t>TD Cowen</w:t>
      </w:r>
      <w:r>
        <w:rPr>
          <w:color w:val="000000"/>
        </w:rPr>
        <w:t>”</w:t>
      </w:r>
      <w:r>
        <w:rPr>
          <w:rFonts w:ascii="Times New Roman;serif" w:hAnsi="Times New Roman;serif"/>
          <w:b w:val="false"/>
          <w:color w:val="000000"/>
          <w:sz w:val="22"/>
        </w:rPr>
        <w:t>) have agreed to act as representatives of the several Underwriters (in such capacity, the “</w:t>
      </w:r>
      <w:r>
        <w:rPr>
          <w:rFonts w:ascii="Times New Roman;serif" w:hAnsi="Times New Roman;serif"/>
          <w:b/>
          <w:color w:val="000000"/>
          <w:sz w:val="22"/>
        </w:rPr>
        <w:t>Representatives</w:t>
      </w:r>
      <w:r>
        <w:rPr>
          <w:color w:val="000000"/>
        </w:rPr>
        <w:t>”</w:t>
      </w:r>
      <w:r>
        <w:rPr>
          <w:rFonts w:ascii="Times New Roman;serif" w:hAnsi="Times New Roman;serif"/>
          <w:b w:val="false"/>
          <w:color w:val="000000"/>
          <w:sz w:val="22"/>
        </w:rPr>
        <w:t xml:space="preserve">) in connection with the offering and sale of the Offered Securities. To the extent there are no additional underwriters listed on </w:t>
      </w:r>
      <w:r>
        <w:rPr>
          <w:rFonts w:ascii="Times New Roman;serif" w:hAnsi="Times New Roman;serif"/>
          <w:b w:val="false"/>
          <w:color w:val="000000"/>
          <w:sz w:val="22"/>
          <w:u w:val="single"/>
        </w:rPr>
        <w:t>Schedule A</w:t>
      </w:r>
      <w:r>
        <w:rPr>
          <w:rFonts w:ascii="Times New Roman;serif" w:hAnsi="Times New Roman;serif"/>
          <w:b w:val="false"/>
          <w:color w:val="000000"/>
          <w:sz w:val="22"/>
        </w:rPr>
        <w:t>, the term “Representatives” as used herein shall mean you, as Underwriters, and the term “Underwriters” shall mean either the singular or the plural, as the context requires.</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2"/>
        </w:rPr>
        <w:t>The Company has prepared and filed with the Securities and Exchange Commission (the “</w:t>
      </w:r>
      <w:r>
        <w:rPr>
          <w:rFonts w:ascii="Times New Roman;serif" w:hAnsi="Times New Roman;serif"/>
          <w:b/>
          <w:color w:val="000000"/>
          <w:sz w:val="22"/>
        </w:rPr>
        <w:t>Commission</w:t>
      </w:r>
      <w:r>
        <w:rPr>
          <w:color w:val="000000"/>
        </w:rPr>
        <w:t>”</w:t>
      </w:r>
      <w:r>
        <w:rPr>
          <w:rFonts w:ascii="Times New Roman;serif" w:hAnsi="Times New Roman;serif"/>
          <w:b w:val="false"/>
          <w:color w:val="000000"/>
          <w:sz w:val="22"/>
        </w:rPr>
        <w:t>) a shelf registration statement on Form S-3, File No. 333-297199, including a base prospectus (the “</w:t>
      </w:r>
      <w:r>
        <w:rPr>
          <w:rFonts w:ascii="Times New Roman;serif" w:hAnsi="Times New Roman;serif"/>
          <w:b/>
          <w:color w:val="000000"/>
          <w:sz w:val="22"/>
        </w:rPr>
        <w:t>Base Prospectus</w:t>
      </w:r>
      <w:r>
        <w:rPr>
          <w:color w:val="000000"/>
        </w:rPr>
        <w:t>”</w:t>
      </w:r>
      <w:r>
        <w:rPr>
          <w:rFonts w:ascii="Times New Roman;serif" w:hAnsi="Times New Roman;serif"/>
          <w:b w:val="false"/>
          <w:color w:val="000000"/>
          <w:sz w:val="22"/>
        </w:rPr>
        <w:t xml:space="preserve">) to be used in connection with the public offering and sale of the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7665"/>
                <wp:effectExtent l="0" t="0" r="0" b="0"/>
                <wp:wrapNone/>
                <wp:docPr id="5" name="Frame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Offered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serif" w:hAnsi="Times New Roman;serif"/>
          <w:b/>
          <w:color w:val="000000"/>
          <w:sz w:val="22"/>
        </w:rPr>
        <w:t>Securities Act</w:t>
      </w:r>
      <w:r>
        <w:rPr>
          <w:color w:val="000000"/>
        </w:rPr>
        <w:t>”</w:t>
      </w:r>
      <w:r>
        <w:rPr>
          <w:rFonts w:ascii="Times New Roman;serif" w:hAnsi="Times New Roman;serif"/>
          <w:b w:val="false"/>
          <w:color w:val="000000"/>
          <w:sz w:val="22"/>
        </w:rPr>
        <w:t>), including any information deemed to be a part thereof at the time of effectiveness pursuant to Rule 430A or Rule 430B under the Securities Act, is called the “</w:t>
      </w:r>
      <w:r>
        <w:rPr>
          <w:rFonts w:ascii="Times New Roman;serif" w:hAnsi="Times New Roman;serif"/>
          <w:b/>
          <w:color w:val="000000"/>
          <w:sz w:val="22"/>
        </w:rPr>
        <w:t>Registration Statement</w:t>
      </w:r>
      <w:r>
        <w:rPr>
          <w:rFonts w:ascii="Times New Roman;serif" w:hAnsi="Times New Roman;serif"/>
          <w:b w:val="false"/>
          <w:color w:val="000000"/>
          <w:sz w:val="22"/>
        </w:rPr>
        <w:t>.” Any registration statement filed by the Company pursuant to Rule 462(b) under the Securities Act in connection with the offer and sale of the Offered Securities is called the “</w:t>
      </w:r>
      <w:r>
        <w:rPr>
          <w:rFonts w:ascii="Times New Roman;serif" w:hAnsi="Times New Roman;serif"/>
          <w:b/>
          <w:color w:val="000000"/>
          <w:sz w:val="22"/>
        </w:rPr>
        <w:t>Rule 462(b) Registration Statement</w:t>
      </w:r>
      <w:r>
        <w:rPr>
          <w:rFonts w:ascii="Times New Roman;serif" w:hAnsi="Times New Roman;serif"/>
          <w:b w:val="false"/>
          <w:color w:val="000000"/>
          <w:sz w:val="22"/>
        </w:rPr>
        <w:t>,” and from and after the date and time of filing of any such Rule 462(b) Registration Statement the term “Registration Statement” shall include the Rule 462(b) Registration Statement. The preliminary prospectus supplement dated July 14, 2026 describing the Offered Securities and the offering thereof, together with the Base Prospectus, is called the “</w:t>
      </w:r>
      <w:r>
        <w:rPr>
          <w:rFonts w:ascii="Times New Roman;serif" w:hAnsi="Times New Roman;serif"/>
          <w:b/>
          <w:color w:val="000000"/>
          <w:sz w:val="22"/>
        </w:rPr>
        <w:t>Preliminary Prospectus</w:t>
      </w:r>
      <w:r>
        <w:rPr>
          <w:rFonts w:ascii="Times New Roman;serif" w:hAnsi="Times New Roman;serif"/>
          <w:b w:val="false"/>
          <w:color w:val="000000"/>
          <w:sz w:val="22"/>
        </w:rPr>
        <w:t>,” and the Preliminary Prospectus and any other prospectus supplement to the Base Prospectus in preliminary form that describes the Offered Securities and the offering thereof and is used prior to the filing of the Prospectus (as defined below) is called a “</w:t>
      </w:r>
      <w:r>
        <w:rPr>
          <w:rFonts w:ascii="Times New Roman;serif" w:hAnsi="Times New Roman;serif"/>
          <w:b/>
          <w:color w:val="000000"/>
          <w:sz w:val="22"/>
        </w:rPr>
        <w:t>preliminary prospectus</w:t>
      </w:r>
      <w:r>
        <w:rPr>
          <w:rFonts w:ascii="Times New Roman;serif" w:hAnsi="Times New Roman;serif"/>
          <w:b w:val="false"/>
          <w:color w:val="000000"/>
          <w:sz w:val="22"/>
        </w:rPr>
        <w:t>.” As used herein, the term “</w:t>
      </w:r>
      <w:r>
        <w:rPr>
          <w:rFonts w:ascii="Times New Roman;serif" w:hAnsi="Times New Roman;serif"/>
          <w:b/>
          <w:color w:val="000000"/>
          <w:sz w:val="22"/>
        </w:rPr>
        <w:t>Prospectus</w:t>
      </w:r>
      <w:r>
        <w:rPr>
          <w:color w:val="000000"/>
        </w:rPr>
        <w:t xml:space="preserve">” </w:t>
      </w:r>
      <w:r>
        <w:rPr>
          <w:rFonts w:ascii="Times New Roman;serif" w:hAnsi="Times New Roman;serif"/>
          <w:b w:val="false"/>
          <w:color w:val="000000"/>
          <w:sz w:val="22"/>
        </w:rPr>
        <w:t>shall mean the final prospectus supplement to the Base Prospectus that describes the Offered Securities and the offering thereof together with the Base Prospectus, in the form first used by the Underwriters to confirm sales of the Offered Securities or in the form first made available to the Underwriters by the Company to meet requests of the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Times New Roman;serif" w:hAnsi="Times New Roman;serif"/>
          <w:b/>
          <w:color w:val="000000"/>
          <w:sz w:val="22"/>
        </w:rPr>
        <w:t>Applicable Time</w:t>
      </w:r>
      <w:r>
        <w:rPr>
          <w:color w:val="000000"/>
        </w:rPr>
        <w:t xml:space="preserve">” </w:t>
      </w:r>
      <w:r>
        <w:rPr>
          <w:rFonts w:ascii="Times New Roman;serif" w:hAnsi="Times New Roman;serif"/>
          <w:b w:val="false"/>
          <w:color w:val="000000"/>
          <w:sz w:val="22"/>
        </w:rPr>
        <w:t>is 7:15 p.m. (New York City time) on July 14, 2026. As used herein, “</w:t>
      </w:r>
      <w:r>
        <w:rPr>
          <w:rFonts w:ascii="Times New Roman;serif" w:hAnsi="Times New Roman;serif"/>
          <w:b/>
          <w:color w:val="000000"/>
          <w:sz w:val="22"/>
        </w:rPr>
        <w:t>Time of Sale Prospectus</w:t>
      </w:r>
      <w:r>
        <w:rPr>
          <w:color w:val="000000"/>
        </w:rPr>
        <w:t xml:space="preserve">” </w:t>
      </w:r>
      <w:r>
        <w:rPr>
          <w:rFonts w:ascii="Times New Roman;serif" w:hAnsi="Times New Roman;serif"/>
          <w:b w:val="false"/>
          <w:color w:val="000000"/>
          <w:sz w:val="22"/>
        </w:rPr>
        <w:t xml:space="preserve">means the Preliminary Prospectus, as amended or supplemented immediately prior to the Applicable Time, and the pricing information set forth on </w:t>
      </w:r>
      <w:r>
        <w:rPr>
          <w:rFonts w:ascii="Times New Roman;serif" w:hAnsi="Times New Roman;serif"/>
          <w:b w:val="false"/>
          <w:color w:val="000000"/>
          <w:sz w:val="22"/>
          <w:u w:val="single"/>
        </w:rPr>
        <w:t>Schedule B</w:t>
      </w:r>
      <w:r>
        <w:rPr>
          <w:color w:val="000000"/>
        </w:rPr>
        <w:t xml:space="preserve"> </w:t>
      </w:r>
      <w:r>
        <w:rPr>
          <w:rFonts w:ascii="Times New Roman;serif" w:hAnsi="Times New Roman;serif"/>
          <w:b w:val="false"/>
          <w:color w:val="000000"/>
          <w:sz w:val="22"/>
        </w:rPr>
        <w:t xml:space="preserve">hereto. As used herein, </w:t>
      </w:r>
      <w:r>
        <w:rPr>
          <w:color w:val="000000"/>
        </w:rPr>
        <w:t>“</w:t>
      </w:r>
      <w:r>
        <w:rPr>
          <w:rFonts w:ascii="Times New Roman;serif" w:hAnsi="Times New Roman;serif"/>
          <w:b/>
          <w:color w:val="000000"/>
          <w:sz w:val="22"/>
        </w:rPr>
        <w:t>Road Show”</w:t>
      </w:r>
      <w:r>
        <w:rPr>
          <w:color w:val="000000"/>
        </w:rPr>
        <w:t xml:space="preserve"> </w:t>
      </w:r>
      <w:r>
        <w:rPr>
          <w:rFonts w:ascii="Times New Roman;serif" w:hAnsi="Times New Roman;serif"/>
          <w:b w:val="false"/>
          <w:color w:val="000000"/>
          <w:sz w:val="22"/>
        </w:rPr>
        <w:t>means a “road show” (as defined in Rule 433 under the Securities Act) relating to the offering of the Offered Securities contemplated hereby that is a “written communication” (as defined in Rule 405 under the Securities Act). “</w:t>
      </w:r>
      <w:r>
        <w:rPr>
          <w:rFonts w:ascii="Times New Roman;serif" w:hAnsi="Times New Roman;serif"/>
          <w:b/>
          <w:color w:val="000000"/>
          <w:sz w:val="22"/>
        </w:rPr>
        <w:t>Written Testing-the-Waters Communication</w:t>
      </w:r>
      <w:r>
        <w:rPr>
          <w:color w:val="000000"/>
        </w:rPr>
        <w:t xml:space="preserve">” </w:t>
      </w:r>
      <w:r>
        <w:rPr>
          <w:rFonts w:ascii="Times New Roman;serif" w:hAnsi="Times New Roman;serif"/>
          <w:b w:val="false"/>
          <w:color w:val="000000"/>
          <w:sz w:val="22"/>
        </w:rPr>
        <w:t>means each written communication (within the meaning of Rule 405 under the Securities Act) that is made in reliance on Section 5(d) of the Securities Act or Rule 163B under the Securities Act by the Company or any person authorized to act on behalf of the Company to one or more potential investors that are qualified institutional buyers (“</w:t>
      </w:r>
      <w:r>
        <w:rPr>
          <w:rFonts w:ascii="Times New Roman;serif" w:hAnsi="Times New Roman;serif"/>
          <w:b/>
          <w:color w:val="000000"/>
          <w:sz w:val="22"/>
        </w:rPr>
        <w:t>QIBs</w:t>
      </w:r>
      <w:r>
        <w:rPr>
          <w:color w:val="000000"/>
        </w:rPr>
        <w:t>”</w:t>
      </w:r>
      <w:r>
        <w:rPr>
          <w:rFonts w:ascii="Times New Roman;serif" w:hAnsi="Times New Roman;serif"/>
          <w:b w:val="false"/>
          <w:color w:val="000000"/>
          <w:sz w:val="22"/>
        </w:rPr>
        <w:t>) and/or institutions that are accredited investors (“</w:t>
      </w:r>
      <w:r>
        <w:rPr>
          <w:rFonts w:ascii="Times New Roman;serif" w:hAnsi="Times New Roman;serif"/>
          <w:b/>
          <w:color w:val="000000"/>
          <w:sz w:val="22"/>
        </w:rPr>
        <w:t>IAIs</w:t>
      </w:r>
      <w:r>
        <w:rPr>
          <w:color w:val="000000"/>
        </w:rPr>
        <w:t>”</w:t>
      </w:r>
      <w:r>
        <w:rPr>
          <w:rFonts w:ascii="Times New Roman;serif" w:hAnsi="Times New Roman;serif"/>
          <w:b w:val="false"/>
          <w:color w:val="000000"/>
          <w:sz w:val="22"/>
        </w:rPr>
        <w:t>), as such terms are respectively defined in Rule 144A and Rule 501(a) under the Securities Act, to determine whether such investors might have an interest in the offering of the Offered Securities; “</w:t>
      </w:r>
      <w:r>
        <w:rPr>
          <w:rFonts w:ascii="Times New Roman;serif" w:hAnsi="Times New Roman;serif"/>
          <w:b/>
          <w:color w:val="000000"/>
          <w:sz w:val="22"/>
        </w:rPr>
        <w:t>Oral Testing-the-Waters Communication</w:t>
      </w:r>
      <w:r>
        <w:rPr>
          <w:color w:val="000000"/>
        </w:rPr>
        <w:t xml:space="preserve">” </w:t>
      </w:r>
      <w:r>
        <w:rPr>
          <w:rFonts w:ascii="Times New Roman;serif" w:hAnsi="Times New Roman;serif"/>
          <w:b w:val="false"/>
          <w:color w:val="000000"/>
          <w:sz w:val="22"/>
        </w:rPr>
        <w:t>means each oral communication, if any, made in reliance on Section 5(d) of the Securities Act or Rule 163B under the Securities Act by the Company or any person authorized to act on behalf of the Company made to one or more QIBs and/or one or more IAIs to determine whether such investors might have an interest in the offering of the Offered Securities; “</w:t>
      </w:r>
      <w:r>
        <w:rPr>
          <w:rFonts w:ascii="Times New Roman;serif" w:hAnsi="Times New Roman;serif"/>
          <w:b/>
          <w:color w:val="000000"/>
          <w:sz w:val="22"/>
        </w:rPr>
        <w:t>Marketing Materials</w:t>
      </w:r>
      <w:r>
        <w:rPr>
          <w:color w:val="000000"/>
        </w:rPr>
        <w:t xml:space="preserve">” </w:t>
      </w:r>
      <w:r>
        <w:rPr>
          <w:rFonts w:ascii="Times New Roman;serif" w:hAnsi="Times New Roman;serif"/>
          <w:b w:val="false"/>
          <w:color w:val="000000"/>
          <w:sz w:val="22"/>
        </w:rPr>
        <w:t>means any materials or information provided to investors by, or with the approval of, the Company in connection with the marketing of the offering of the Offered Securities, including any roadshow or investor presentations made to investors by the Company (whether in person or electronically); and “</w:t>
      </w:r>
      <w:r>
        <w:rPr>
          <w:rFonts w:ascii="Times New Roman;serif" w:hAnsi="Times New Roman;serif"/>
          <w:b/>
          <w:color w:val="000000"/>
          <w:sz w:val="22"/>
        </w:rPr>
        <w:t>Permitted Testing-the-Waters Communication</w:t>
      </w:r>
      <w:r>
        <w:rPr>
          <w:color w:val="000000"/>
        </w:rPr>
        <w:t xml:space="preserve">” </w:t>
      </w:r>
      <w:r>
        <w:rPr>
          <w:rFonts w:ascii="Times New Roman;serif" w:hAnsi="Times New Roman;serif"/>
          <w:b w:val="false"/>
          <w:color w:val="000000"/>
          <w:sz w:val="22"/>
        </w:rPr>
        <w:t xml:space="preserve">means the Written Testing-the-Waters Communication(s) and Marketing Materials listed on </w:t>
      </w:r>
      <w:r>
        <w:rPr>
          <w:rFonts w:ascii="Times New Roman;serif" w:hAnsi="Times New Roman;serif"/>
          <w:b w:val="false"/>
          <w:color w:val="000000"/>
          <w:sz w:val="22"/>
          <w:u w:val="single"/>
        </w:rPr>
        <w:t>Schedule C</w:t>
      </w:r>
      <w:r>
        <w:rPr>
          <w:color w:val="000000"/>
        </w:rPr>
        <w:t xml:space="preserve"> </w:t>
      </w:r>
      <w:r>
        <w:rPr>
          <w:rFonts w:ascii="Times New Roman;serif" w:hAnsi="Times New Roman;serif"/>
          <w:b w:val="false"/>
          <w:color w:val="000000"/>
          <w:sz w:val="22"/>
        </w:rPr>
        <w:t>attached hereto.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All references in this Agreement to the Registration Statement, the Preliminary Prospectus, any preliminary prospectus, the Base Prospectus and the Prospectus, or any amendments or supplements to any of the foregoing, shall include the documents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42925"/>
                <wp:effectExtent l="0" t="0" r="0" b="0"/>
                <wp:wrapNone/>
                <wp:docPr id="6" name="Frame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the Prospectus, and all other references of like import, shall be deemed to mean and include all such financial statements and schedules and other information which is or is deemed to be incorporated by reference in the Registration Statement, the Preliminary Prospectus, any preliminary prospectus, the Base Prospectus, the Time of Sale Prospectus, as the case may be. All references in this Agreement to amendments or supplements to the Registration Statement, the Preliminary Prospectus, any preliminary prospectus, the Base Prospectus, the Time of Sale Prospectus or the Prospectus shall be deemed to include the filing of any document under the U. S. Securities Exchange Act of 1934, as amended, and the rules and regulations promulgated thereunder (collectively, the “</w:t>
      </w:r>
      <w:r>
        <w:rPr>
          <w:rFonts w:ascii="Times New Roman;serif" w:hAnsi="Times New Roman;serif"/>
          <w:b/>
          <w:color w:val="000000"/>
          <w:sz w:val="22"/>
        </w:rPr>
        <w:t>Exchange Act</w:t>
      </w:r>
      <w:r>
        <w:rPr>
          <w:color w:val="000000"/>
        </w:rPr>
        <w:t>”</w:t>
      </w:r>
      <w:r>
        <w:rPr>
          <w:rFonts w:ascii="Times New Roman;serif" w:hAnsi="Times New Roman;serif"/>
          <w:b w:val="false"/>
          <w:color w:val="000000"/>
          <w:sz w:val="22"/>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or any amendments or supplements to any of the foregoing, shall include any copy thereof filed with the Commission pursuant to its Electronic Data Gathering, Analysis and Retrieval System (“</w:t>
      </w:r>
      <w:r>
        <w:rPr>
          <w:rFonts w:ascii="Times New Roman;serif" w:hAnsi="Times New Roman;serif"/>
          <w:b/>
          <w:color w:val="000000"/>
          <w:sz w:val="22"/>
        </w:rPr>
        <w:t>EDGAR</w:t>
      </w:r>
      <w:r>
        <w:rPr>
          <w:color w:val="000000"/>
        </w:rPr>
        <w:t>”</w:t>
      </w:r>
      <w:r>
        <w:rPr>
          <w:rFonts w:ascii="Times New Roman;serif" w:hAnsi="Times New Roman;serif"/>
          <w:b w:val="false"/>
          <w:color w:val="000000"/>
          <w:sz w:val="22"/>
        </w:rPr>
        <w:t>) and (ii) the Prospectus shall be deemed to include any “electronic</w:t>
      </w:r>
      <w:r>
        <w:rPr>
          <w:color w:val="000000"/>
        </w:rPr>
        <w:t xml:space="preserve"> </w:t>
      </w:r>
      <w:r>
        <w:rPr>
          <w:rFonts w:ascii="Times New Roman;serif" w:hAnsi="Times New Roman;serif"/>
          <w:b w:val="false"/>
          <w:color w:val="000000"/>
          <w:sz w:val="22"/>
        </w:rPr>
        <w:t>Prospectus” provided for use in connection with the offering of the Offered Securities as contemplated by Section 3(n)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In the event that the Company has only one subsidiary, then all references herein to “subsidiaries” of the Company shall be deemed to refer to such single subsidiary, </w:t>
      </w:r>
      <w:r>
        <w:rPr>
          <w:rFonts w:ascii="Times New Roman;serif" w:hAnsi="Times New Roman;serif"/>
          <w:b w:val="false"/>
          <w:color w:val="000000"/>
          <w:sz w:val="22"/>
          <w:u w:val="single"/>
        </w:rPr>
        <w:t>mutatis</w:t>
      </w:r>
      <w:r>
        <w:rPr>
          <w:color w:val="000000"/>
        </w:rPr>
        <w:t xml:space="preserve"> </w:t>
      </w:r>
      <w:r>
        <w:rPr>
          <w:rFonts w:ascii="Times New Roman;serif" w:hAnsi="Times New Roman;serif"/>
          <w:b w:val="false"/>
          <w:color w:val="000000"/>
          <w:sz w:val="22"/>
          <w:u w:val="single"/>
        </w:rPr>
        <w:t>mutandis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hereby confirms its agreement with the Underwriters as follows:</w:t>
      </w:r>
    </w:p>
    <w:p>
      <w:pPr>
        <w:pStyle w:val="TextBody"/>
        <w:bidi w:val="0"/>
        <w:spacing w:lineRule="auto" w:line="288" w:before="0" w:after="240"/>
        <w:ind w:left="0" w:right="0" w:firstLine="1440"/>
        <w:jc w:val="left"/>
        <w:rPr/>
      </w:pPr>
      <w:r>
        <w:rPr>
          <w:rFonts w:ascii="Times New Roman;serif" w:hAnsi="Times New Roman;serif"/>
          <w:b/>
          <w:color w:val="000000"/>
          <w:sz w:val="22"/>
        </w:rPr>
        <w:t>Section 1.</w:t>
      </w:r>
      <w:r>
        <w:rPr>
          <w:rFonts w:ascii="Times New Roman;serif" w:hAnsi="Times New Roman;serif"/>
          <w:b/>
          <w:color w:val="000000"/>
          <w:sz w:val="22"/>
        </w:rPr>
        <w:t xml:space="preserve">Representations and Warranties of the Company. </w:t>
      </w:r>
      <w:r>
        <w:rPr>
          <w:rFonts w:ascii="Times New Roman;serif" w:hAnsi="Times New Roman;serif"/>
          <w:b w:val="false"/>
          <w:color w:val="000000"/>
          <w:sz w:val="22"/>
        </w:rPr>
        <w:t xml:space="preserve">The Company hereby represents, warrants and covenants to each Underwriter, as of the date of this Agreement, as of the First Closing Date (as hereinafter defined) and as of each Option Closing Date (as hereinafter defined), if any, as follows: </w:t>
      </w:r>
    </w:p>
    <w:p>
      <w:pPr>
        <w:pStyle w:val="TextBody"/>
        <w:bidi w:val="0"/>
        <w:spacing w:lineRule="auto" w:line="288" w:before="0" w:after="240"/>
        <w:ind w:left="0" w:right="0" w:firstLine="720"/>
        <w:jc w:val="left"/>
        <w:rPr/>
      </w:pPr>
      <w:r>
        <w:rPr>
          <w:rFonts w:ascii="Times New Roman;serif" w:hAnsi="Times New Roman;serif"/>
          <w:b/>
          <w:color w:val="000000"/>
          <w:sz w:val="22"/>
        </w:rPr>
        <w:t>(a)</w:t>
      </w:r>
      <w:r>
        <w:rPr>
          <w:rFonts w:ascii="Times New Roman;serif" w:hAnsi="Times New Roman;serif"/>
          <w:b/>
          <w:i/>
          <w:color w:val="000000"/>
          <w:sz w:val="22"/>
        </w:rPr>
        <w:t>Compliance with Registration Requirements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Registration Statement has become effective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At the time the Company’s Annual Report on Form 10-K for the year ended December 31, 2025 (the “</w:t>
      </w:r>
      <w:r>
        <w:rPr>
          <w:rFonts w:ascii="Times New Roman;serif" w:hAnsi="Times New Roman;serif"/>
          <w:b/>
          <w:color w:val="000000"/>
          <w:sz w:val="22"/>
        </w:rPr>
        <w:t>Annual Report</w:t>
      </w:r>
      <w:r>
        <w:rPr>
          <w:color w:val="000000"/>
        </w:rPr>
        <w:t>”</w:t>
      </w:r>
      <w:r>
        <w:rPr>
          <w:rFonts w:ascii="Times New Roman;serif" w:hAnsi="Times New Roman;serif"/>
          <w:b w:val="false"/>
          <w:color w:val="000000"/>
          <w:sz w:val="22"/>
        </w:rPr>
        <w:t xml:space="preserve">) was filed with the Commission, or, if later, at the time the Registration Statement was originally filed with the Commission, the Company met the then-applicable requirements for use of Form S-3 under the Securities Act. The documents incorporated or deemed to be incorporated by reference in the Registration Statement, the Time of Sale Prospectus and the Prospectus, when they became effective or at the time they were filed or hereafter are filed with the Commission, complied and will comply in all material respects with the requirements of the Exchange Act. </w:t>
      </w:r>
    </w:p>
    <w:p>
      <w:pPr>
        <w:pStyle w:val="TextBody"/>
        <w:bidi w:val="0"/>
        <w:spacing w:lineRule="auto" w:line="288" w:before="0" w:after="240"/>
        <w:ind w:left="0" w:right="0" w:firstLine="720"/>
        <w:jc w:val="left"/>
        <w:rPr/>
      </w:pPr>
      <w:r>
        <w:rPr>
          <w:rFonts w:ascii="Times New Roman;serif" w:hAnsi="Times New Roman;serif"/>
          <w:b/>
          <w:color w:val="000000"/>
          <w:sz w:val="22"/>
        </w:rPr>
        <w:t>(b)</w:t>
      </w:r>
      <w:r>
        <w:rPr>
          <w:rFonts w:ascii="Times New Roman;serif" w:hAnsi="Times New Roman;serif"/>
          <w:b/>
          <w:i/>
          <w:color w:val="000000"/>
          <w:sz w:val="22"/>
        </w:rPr>
        <w:t>Disclosure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Each preliminary prospectus and the Prospectus when filed complied in all material respects with the Securities Act and, if filed by 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42925"/>
                <wp:effectExtent l="0" t="0" r="0" b="0"/>
                <wp:wrapNone/>
                <wp:docPr id="7" name="Frame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pStyle w:val="TextBody"/>
        <w:bidi w:val="0"/>
        <w:spacing w:lineRule="auto" w:line="288" w:before="0" w:after="240"/>
        <w:ind w:left="0" w:right="0" w:firstLine="720"/>
        <w:jc w:val="left"/>
        <w:rPr/>
      </w:pPr>
      <w:r>
        <w:rPr>
          <w:rFonts w:ascii="Times New Roman;serif" w:hAnsi="Times New Roman;serif"/>
          <w:b/>
          <w:color w:val="000000"/>
          <w:sz w:val="22"/>
        </w:rPr>
        <w:t>(c)</w:t>
      </w:r>
      <w:r>
        <w:rPr>
          <w:rFonts w:ascii="Times New Roman;serif" w:hAnsi="Times New Roman;serif"/>
          <w:b/>
          <w:i/>
          <w:color w:val="000000"/>
          <w:sz w:val="22"/>
        </w:rPr>
        <w:t xml:space="preserve">Road Show; Free Writing Prospectuses. </w:t>
      </w:r>
      <w:r>
        <w:rPr>
          <w:rFonts w:ascii="Times New Roman;serif" w:hAnsi="Times New Roman;serif"/>
          <w:b w:val="false"/>
          <w:color w:val="000000"/>
          <w:sz w:val="22"/>
        </w:rPr>
        <w:t>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 The Company is an “ineligible issuer” in connection with the offering of the Offered Securities pursuant to Rules 164, 405 and 433 under the Securities Act. The Company has not, directly or indirectly, offered or sold any Offered Securities by means of any “prospectus” (within the meaning of the Securities Act) or used any “prospectus” (within the meaning of the Securities Act) in connection with the offer or sale of the Offered Securities, in each case other than the Preliminary Prospectus, the Time of Sale Prospectus or the Prospectus. The Company has not, directly or indirectly, prepared, used or referred to, and will not, directly or indirectly, prepare, use or refer to, any free writing prospectus (as defined in Rule 405 under the Securities Act) in connection with the offer and sale of the Offered Securities; and the Company was and is an “ineligible issuer” (as defined in Rule 405 under the Securities Act) as of the time of filing the Registration Statement and as of the time of each sale of the Offered Securities in connection with the offering.</w:t>
      </w:r>
    </w:p>
    <w:p>
      <w:pPr>
        <w:pStyle w:val="TextBody"/>
        <w:bidi w:val="0"/>
        <w:spacing w:lineRule="auto" w:line="288" w:before="0" w:after="240"/>
        <w:ind w:left="0" w:right="0" w:firstLine="720"/>
        <w:jc w:val="left"/>
        <w:rPr/>
      </w:pPr>
      <w:r>
        <w:rPr>
          <w:rFonts w:ascii="Times New Roman;serif" w:hAnsi="Times New Roman;serif"/>
          <w:b/>
          <w:color w:val="000000"/>
          <w:sz w:val="22"/>
        </w:rPr>
        <w:t>(d)</w:t>
      </w:r>
      <w:r>
        <w:rPr>
          <w:rFonts w:ascii="Times New Roman;serif" w:hAnsi="Times New Roman;serif"/>
          <w:b/>
          <w:i/>
          <w:color w:val="000000"/>
          <w:sz w:val="22"/>
        </w:rPr>
        <w:t>Distribution of Offering Material By the Company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Prior to the later of (i) the expiration or termination of the option granted to the several Underwriters in Section 2 and (ii) the completion of the Underwriters’ distribution of the Offered Securities,</w:t>
      </w:r>
      <w:r>
        <w:rPr>
          <w:color w:val="000000"/>
        </w:rPr>
        <w:t xml:space="preserve"> </w:t>
      </w:r>
      <w:r>
        <w:rPr>
          <w:rFonts w:ascii="Times New Roman;serif" w:hAnsi="Times New Roman;serif"/>
          <w:b w:val="false"/>
          <w:color w:val="000000"/>
          <w:sz w:val="22"/>
        </w:rPr>
        <w:t xml:space="preserve">the Company has not distributed and will not distribute any offering material in connection with the offering and sale of the Offered Securities other than the Registration Statement, the Time of Sale Prospectus, the Prospectus or any Permitted Testing-the-Waters Communications. </w:t>
      </w:r>
    </w:p>
    <w:p>
      <w:pPr>
        <w:pStyle w:val="TextBody"/>
        <w:bidi w:val="0"/>
        <w:spacing w:lineRule="auto" w:line="288" w:before="0" w:after="240"/>
        <w:ind w:left="0" w:right="0" w:firstLine="720"/>
        <w:jc w:val="left"/>
        <w:rPr/>
      </w:pPr>
      <w:r>
        <w:rPr>
          <w:rFonts w:ascii="Times New Roman;serif" w:hAnsi="Times New Roman;serif"/>
          <w:b/>
          <w:color w:val="000000"/>
          <w:sz w:val="22"/>
        </w:rPr>
        <w:t>(e)</w:t>
      </w:r>
      <w:r>
        <w:rPr>
          <w:rFonts w:ascii="Times New Roman;serif" w:hAnsi="Times New Roman;serif"/>
          <w:b/>
          <w:i/>
          <w:color w:val="000000"/>
          <w:sz w:val="22"/>
        </w:rPr>
        <w:t>The Underwriting Agreement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has been duly authorized, executed and delivered by the Company.</w:t>
      </w:r>
    </w:p>
    <w:p>
      <w:pPr>
        <w:pStyle w:val="TextBody"/>
        <w:bidi w:val="0"/>
        <w:spacing w:lineRule="auto" w:line="288" w:before="0" w:after="240"/>
        <w:ind w:left="0" w:right="0" w:firstLine="720"/>
        <w:jc w:val="left"/>
        <w:rPr/>
      </w:pPr>
      <w:r>
        <w:rPr>
          <w:rFonts w:ascii="Times New Roman;serif" w:hAnsi="Times New Roman;serif"/>
          <w:b/>
          <w:color w:val="000000"/>
          <w:sz w:val="22"/>
        </w:rPr>
        <w:t>(f)</w:t>
      </w:r>
      <w:r>
        <w:rPr>
          <w:rFonts w:ascii="Times New Roman;serif" w:hAnsi="Times New Roman;serif"/>
          <w:b/>
          <w:i/>
          <w:color w:val="000000"/>
          <w:sz w:val="22"/>
        </w:rPr>
        <w:t>Authorization of the Offered Securities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Offered Shares have been duly authorized for issuance and sale pursuant to this Agreement and, when issued and delivered by the Company against payment therefor pursuant to this Agreement and the register of members of the Company has been updated to reflect the same, will be validly issued, fully paid and nonassessable, and the issuance and sale </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42925"/>
                <wp:effectExtent l="0" t="0" r="0" b="0"/>
                <wp:wrapNone/>
                <wp:docPr id="8" name="Frame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of the Offered Shares is not subject to any preemptive rights, rights of first refusal or other similar rights to subscribe for or purchase the Offered Shares. The Pre-Funded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Pre-Funded Warrants in a number sufficient to meet the current exercise requirements. The Warrant Shares, when issued and delivered upon exercise of the Pre-Funded Warrants in accordance therewith and the register of members of the Company has been updated to reflect the same, will be validly issued, fully paid and nonassessable, and the issuance of the Warrant Shares is not subject to any preemptive rights, rights of first refusal or other similar rights to subscribe for or purchase the Warrant Shares.</w:t>
      </w:r>
    </w:p>
    <w:p>
      <w:pPr>
        <w:pStyle w:val="TextBody"/>
        <w:bidi w:val="0"/>
        <w:spacing w:lineRule="auto" w:line="288" w:before="0" w:after="240"/>
        <w:ind w:left="0" w:right="0" w:firstLine="720"/>
        <w:jc w:val="left"/>
        <w:rPr/>
      </w:pPr>
      <w:r>
        <w:rPr>
          <w:rFonts w:ascii="Times New Roman;serif" w:hAnsi="Times New Roman;serif"/>
          <w:b/>
          <w:color w:val="000000"/>
          <w:sz w:val="22"/>
        </w:rPr>
        <w:t>(g)</w:t>
      </w:r>
      <w:r>
        <w:rPr>
          <w:rFonts w:ascii="Times New Roman;serif" w:hAnsi="Times New Roman;serif"/>
          <w:b/>
          <w:i/>
          <w:color w:val="000000"/>
          <w:sz w:val="22"/>
        </w:rPr>
        <w:t>No Applicable Registration or Other Similar Rights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There are no persons with registration or other similar rights to have any equity or debt securities registered for sale under the Registration Statement or included in the offering contemplated by this Agreement.</w:t>
      </w:r>
    </w:p>
    <w:p>
      <w:pPr>
        <w:pStyle w:val="TextBody"/>
        <w:bidi w:val="0"/>
        <w:spacing w:lineRule="auto" w:line="288" w:before="0" w:after="240"/>
        <w:ind w:left="0" w:right="0" w:firstLine="720"/>
        <w:jc w:val="left"/>
        <w:rPr/>
      </w:pPr>
      <w:r>
        <w:rPr>
          <w:rFonts w:ascii="Times New Roman;serif" w:hAnsi="Times New Roman;serif"/>
          <w:b/>
          <w:color w:val="000000"/>
          <w:sz w:val="22"/>
        </w:rPr>
        <w:t>(h)</w:t>
      </w:r>
      <w:r>
        <w:rPr>
          <w:rFonts w:ascii="Times New Roman;serif" w:hAnsi="Times New Roman;serif"/>
          <w:b/>
          <w:i/>
          <w:color w:val="000000"/>
          <w:sz w:val="22"/>
        </w:rPr>
        <w:t>No Material Adverse Change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Except as otherwise disclosed in the Registration Statement, the Time of Sale Prospectus and the Prospectus, subsequent to the respective dates as of which information is given in the Registration Statement, the Time of Sale Prospectus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serif" w:hAnsi="Times New Roman;serif"/>
          <w:b/>
          <w:color w:val="000000"/>
          <w:sz w:val="22"/>
        </w:rPr>
        <w:t>Material Adverse Change</w:t>
      </w:r>
      <w:r>
        <w:rPr>
          <w:color w:val="000000"/>
        </w:rPr>
        <w:t>”</w:t>
      </w:r>
      <w:r>
        <w:rPr>
          <w:rFonts w:ascii="Times New Roman;serif" w:hAnsi="Times New Roman;serif"/>
          <w:b w:val="false"/>
          <w:color w:val="000000"/>
          <w:sz w:val="22"/>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share capital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pStyle w:val="TextBody"/>
        <w:bidi w:val="0"/>
        <w:spacing w:lineRule="auto" w:line="288" w:before="0" w:after="240"/>
        <w:ind w:left="0" w:right="0" w:firstLine="720"/>
        <w:jc w:val="left"/>
        <w:rPr/>
      </w:pPr>
      <w:r>
        <w:rPr>
          <w:rFonts w:ascii="Times New Roman;serif" w:hAnsi="Times New Roman;serif"/>
          <w:b/>
          <w:color w:val="000000"/>
          <w:sz w:val="22"/>
        </w:rPr>
        <w:t>(i)</w:t>
      </w:r>
      <w:r>
        <w:rPr>
          <w:rFonts w:ascii="Times New Roman;serif" w:hAnsi="Times New Roman;serif"/>
          <w:b/>
          <w:i/>
          <w:color w:val="000000"/>
          <w:sz w:val="22"/>
        </w:rPr>
        <w:t>Independent Accountants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PricewaterhouseCoopers LLP, which has expressed its opinion with respect to the financial statements (which term as used in this Agreement includes the related notes thereto) filed with the Commission and incorporated by reference into the Registration Statement, the Time of Sale Prospectus and the Prospectus, is (i) an independent registered public accounting firm as required by the Securities Act, the Exchange Act, and the rules of the Public Company Accounting Oversight Board (“</w:t>
      </w:r>
      <w:r>
        <w:rPr>
          <w:rFonts w:ascii="Times New Roman;serif" w:hAnsi="Times New Roman;serif"/>
          <w:b/>
          <w:color w:val="000000"/>
          <w:sz w:val="22"/>
        </w:rPr>
        <w:t>PCAOB</w:t>
      </w:r>
      <w:r>
        <w:rPr>
          <w:color w:val="000000"/>
        </w:rPr>
        <w:t>”</w:t>
      </w:r>
      <w:r>
        <w:rPr>
          <w:rFonts w:ascii="Times New Roman;serif" w:hAnsi="Times New Roman;serif"/>
          <w:b w:val="false"/>
          <w:color w:val="000000"/>
          <w:sz w:val="22"/>
        </w:rPr>
        <w:t xml:space="preserve">),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 </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42925"/>
                <wp:effectExtent l="0" t="0" r="0" b="0"/>
                <wp:wrapNone/>
                <wp:docPr id="9" name="Frame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2"/>
        </w:rPr>
        <w:t>(j)</w:t>
      </w:r>
      <w:r>
        <w:rPr>
          <w:rFonts w:ascii="Times New Roman;serif" w:hAnsi="Times New Roman;serif"/>
          <w:b/>
          <w:i/>
          <w:color w:val="000000"/>
          <w:sz w:val="22"/>
        </w:rPr>
        <w:t>Financial Statements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financial statements filed with the Commission and incorporated by reference into the Registration Statement, the Time of Sale Prospectus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w:t>
      </w:r>
      <w:r>
        <w:rPr>
          <w:rFonts w:ascii="Times New Roman;serif" w:hAnsi="Times New Roman;serif"/>
          <w:b/>
          <w:color w:val="000000"/>
          <w:sz w:val="22"/>
        </w:rPr>
        <w:t>GAAP</w:t>
      </w:r>
      <w:r>
        <w:rPr>
          <w:color w:val="000000"/>
        </w:rPr>
        <w:t>”</w:t>
      </w:r>
      <w:r>
        <w:rPr>
          <w:rFonts w:ascii="Times New Roman;serif" w:hAnsi="Times New Roman;serif"/>
          <w:b w:val="false"/>
          <w:color w:val="000000"/>
          <w:sz w:val="22"/>
        </w:rPr>
        <w:t xml:space="preserve">) as applied in the United States applied on a consistent basis throughout the periods involved, except as may be expressly stated in the related notes thereto and except in the case of unaudited financial statements, which are subject to normal year-end adjustments and do not contain certain footnotes as permitted by the applicable rules of the Commission. The interactive data in eXtensible Business Reporting Language included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Time of Sale Prospectus or the Prospectus. The financial data contained or incorporated by reference in each of the Registration Statement, the Time of Sale Prospectus and the Prospectus fairly present, in all material respects, the information set forth therein on a basis consistent with that of the audited or unaudited financial statements, as applicable, contained or incorporated by reference in the Registration Statement, the Time of Sale Prospectus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 </w:t>
      </w:r>
    </w:p>
    <w:p>
      <w:pPr>
        <w:pStyle w:val="TextBody"/>
        <w:bidi w:val="0"/>
        <w:spacing w:lineRule="auto" w:line="288" w:before="0" w:after="240"/>
        <w:ind w:left="0" w:right="0" w:firstLine="720"/>
        <w:jc w:val="left"/>
        <w:rPr/>
      </w:pPr>
      <w:r>
        <w:rPr>
          <w:rFonts w:ascii="Times New Roman;serif" w:hAnsi="Times New Roman;serif"/>
          <w:b/>
          <w:color w:val="000000"/>
          <w:sz w:val="22"/>
        </w:rPr>
        <w:t>(k)</w:t>
      </w:r>
      <w:r>
        <w:rPr>
          <w:rFonts w:ascii="Times New Roman;serif" w:hAnsi="Times New Roman;serif"/>
          <w:b/>
          <w:i/>
          <w:color w:val="000000"/>
          <w:sz w:val="22"/>
        </w:rPr>
        <w:t>Company’s Accounting System</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and its subsidiaries make and keep books and records that are accurate in all material respects and maintain a system of internal accounting controls designed, and sufficient, to provide reasonable assurance that: (i) transactions are executed in accordance with management’s general or specific authorization; (ii) transactions are recorded as necessary to permit preparation of financial statements in conformity with GAAP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in the Registration Statement, the Time of Sale Prospectus and the Prospectus fairly presents the information called for in all material respects and is prepared in accordance with the Commission’s rules and guidelines applicable thereto.</w:t>
      </w:r>
    </w:p>
    <w:p>
      <w:pPr>
        <w:pStyle w:val="TextBody"/>
        <w:bidi w:val="0"/>
        <w:spacing w:lineRule="auto" w:line="288" w:before="0" w:after="240"/>
        <w:ind w:left="0" w:right="0" w:firstLine="720"/>
        <w:jc w:val="left"/>
        <w:rPr/>
      </w:pPr>
      <w:r>
        <w:rPr>
          <w:rFonts w:ascii="Times New Roman;serif" w:hAnsi="Times New Roman;serif"/>
          <w:b/>
          <w:color w:val="000000"/>
          <w:sz w:val="22"/>
        </w:rPr>
        <w:t>(l)</w:t>
      </w:r>
      <w:r>
        <w:rPr>
          <w:rFonts w:ascii="Times New Roman;serif" w:hAnsi="Times New Roman;serif"/>
          <w:b/>
          <w:i/>
          <w:color w:val="000000"/>
          <w:sz w:val="22"/>
        </w:rPr>
        <w:t>Disclosure Controls and Procedures; Deficiencies in or Changes to Internal Control Over Financial Reporting</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42925"/>
                <wp:effectExtent l="0" t="0" r="0" b="0"/>
                <wp:wrapNone/>
                <wp:docPr id="10" name="Frame1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pStyle w:val="TextBody"/>
        <w:bidi w:val="0"/>
        <w:spacing w:lineRule="auto" w:line="288" w:before="0" w:after="240"/>
        <w:ind w:left="0" w:right="0" w:firstLine="720"/>
        <w:jc w:val="left"/>
        <w:rPr/>
      </w:pPr>
      <w:r>
        <w:rPr>
          <w:rFonts w:ascii="Times New Roman;serif" w:hAnsi="Times New Roman;serif"/>
          <w:b/>
          <w:color w:val="000000"/>
          <w:sz w:val="22"/>
        </w:rPr>
        <w:t>(m)</w:t>
      </w:r>
      <w:r>
        <w:rPr>
          <w:rFonts w:ascii="Times New Roman;serif" w:hAnsi="Times New Roman;serif"/>
          <w:b/>
          <w:i/>
          <w:color w:val="000000"/>
          <w:sz w:val="22"/>
        </w:rPr>
        <w:t>Incorporation and Good Standing of the Company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under the laws of the Cayman Islands and each other jurisdiction in which such qualification is required, whether by reason of the ownership or leasing of property or the conduct of business, except where the failure to so qualify or to be in good standing would not reasonably be expected, individually or in the aggregate, to result in a Material Adverse Change. </w:t>
      </w:r>
    </w:p>
    <w:p>
      <w:pPr>
        <w:pStyle w:val="TextBody"/>
        <w:bidi w:val="0"/>
        <w:spacing w:lineRule="auto" w:line="288" w:before="0" w:after="240"/>
        <w:ind w:left="0" w:right="0" w:firstLine="720"/>
        <w:jc w:val="left"/>
        <w:rPr/>
      </w:pPr>
      <w:r>
        <w:rPr>
          <w:rFonts w:ascii="Times New Roman;serif" w:hAnsi="Times New Roman;serif"/>
          <w:b/>
          <w:color w:val="000000"/>
          <w:sz w:val="22"/>
        </w:rPr>
        <w:t>(n)</w:t>
      </w:r>
      <w:r>
        <w:rPr>
          <w:rFonts w:ascii="Times New Roman;serif" w:hAnsi="Times New Roman;serif"/>
          <w:b/>
          <w:i/>
          <w:color w:val="000000"/>
          <w:sz w:val="22"/>
        </w:rPr>
        <w:t>Subsidiaries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except where the failure to be in good standing would not reasonably be expected, individually or in the aggregate, to result in a Material Adverse Change.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in good standing would not reasonably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its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21.1 to the Company’s Annual Report on Form 10-K for the fiscal year ended December 31, 2025.</w:t>
      </w:r>
    </w:p>
    <w:p>
      <w:pPr>
        <w:pStyle w:val="TextBody"/>
        <w:bidi w:val="0"/>
        <w:spacing w:lineRule="auto" w:line="288" w:before="0" w:after="240"/>
        <w:ind w:left="0" w:right="0" w:firstLine="720"/>
        <w:jc w:val="left"/>
        <w:rPr/>
      </w:pPr>
      <w:r>
        <w:rPr>
          <w:rFonts w:ascii="Times New Roman;serif" w:hAnsi="Times New Roman;serif"/>
          <w:b/>
          <w:color w:val="000000"/>
          <w:sz w:val="22"/>
        </w:rPr>
        <w:t>(o)</w:t>
      </w:r>
      <w:r>
        <w:rPr>
          <w:rFonts w:ascii="Times New Roman;serif" w:hAnsi="Times New Roman;serif"/>
          <w:b/>
          <w:i/>
          <w:color w:val="000000"/>
          <w:sz w:val="22"/>
        </w:rPr>
        <w:t>Capitalization and Other Share Capital Matters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authorized, issued and outstanding share capital of the Company is as set forth in the Registration Statement, the Time of Sale Prospectus and the Prospectus as of the dates indicated for such information (other than for subsequent issuances, if any, pursuant to employee benefit plans, or upon the exercise of outstanding options or warrants or the vesting and settlement of restricted stock units (“</w:t>
      </w:r>
      <w:r>
        <w:rPr>
          <w:rFonts w:ascii="Times New Roman;serif" w:hAnsi="Times New Roman;serif"/>
          <w:b/>
          <w:color w:val="000000"/>
          <w:sz w:val="22"/>
        </w:rPr>
        <w:t>RSUs</w:t>
      </w:r>
      <w:r>
        <w:rPr>
          <w:color w:val="000000"/>
        </w:rPr>
        <w:t>”</w:t>
      </w:r>
      <w:r>
        <w:rPr>
          <w:rFonts w:ascii="Times New Roman;serif" w:hAnsi="Times New Roman;serif"/>
          <w:b w:val="false"/>
          <w:color w:val="000000"/>
          <w:sz w:val="22"/>
        </w:rPr>
        <w:t xml:space="preserve">), in each case as described in the Registration Statement, the Time of Sale Prospectus and the Prospectus). The Shares (including the Offered Shares and the Warrant Shares) and the Pre-Funded Warrants conform in all material respects to the description thereof contained in the Time of Sale Prospectus. All of the issued and outstanding Shares have been duly </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42925"/>
                <wp:effectExtent l="0" t="0" r="0" b="0"/>
                <wp:wrapNone/>
                <wp:docPr id="11" name="Frame1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authorized and validly issued, are fully paid and nonassessable and have been issued in compliance with all applicable Cayman Islands and U.S. federal and state securities laws. None of the outstanding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shares of the Company, or any of its subsidiaries other than those described in the Registration Statement, the Time of Sale Prospectus and the Prospectus. The descriptions of the Company’s options, bonus and other option plans or arrangements, and the options or other rights granted thereunder, set forth in the Registration Statement, the Time of Sale Prospectus and the Prospectus accurately and fairly present, in all material respects, the information required to be shown with respect to such plans, arrangements, options and rights.</w:t>
      </w:r>
    </w:p>
    <w:p>
      <w:pPr>
        <w:pStyle w:val="TextBody"/>
        <w:bidi w:val="0"/>
        <w:spacing w:lineRule="auto" w:line="288" w:before="0" w:after="240"/>
        <w:ind w:left="0" w:right="0" w:firstLine="720"/>
        <w:jc w:val="left"/>
        <w:rPr/>
      </w:pPr>
      <w:r>
        <w:rPr>
          <w:rFonts w:ascii="Times New Roman;serif" w:hAnsi="Times New Roman;serif"/>
          <w:b/>
          <w:color w:val="000000"/>
          <w:sz w:val="22"/>
        </w:rPr>
        <w:t>(p)</w:t>
      </w:r>
      <w:r>
        <w:rPr>
          <w:rFonts w:ascii="Times New Roman;serif" w:hAnsi="Times New Roman;serif"/>
          <w:b/>
          <w:i/>
          <w:color w:val="000000"/>
          <w:sz w:val="22"/>
        </w:rPr>
        <w:t>Stock Exchange Listing</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Offered Shares and the Warrant Shares are registered pursuant to Section 12(b) or 12(g) of the Exchange Act are listed on The Nasdaq Capital Market (the “</w:t>
      </w:r>
      <w:r>
        <w:rPr>
          <w:rFonts w:ascii="Times New Roman;serif" w:hAnsi="Times New Roman;serif"/>
          <w:b/>
          <w:color w:val="000000"/>
          <w:sz w:val="22"/>
        </w:rPr>
        <w:t>Nasdaq</w:t>
      </w:r>
      <w:r>
        <w:rPr>
          <w:color w:val="000000"/>
        </w:rPr>
        <w:t>”</w:t>
      </w:r>
      <w:r>
        <w:rPr>
          <w:rFonts w:ascii="Times New Roman;serif" w:hAnsi="Times New Roman;serif"/>
          <w:b w:val="false"/>
          <w:color w:val="000000"/>
          <w:sz w:val="22"/>
        </w:rPr>
        <w:t>), and the Company has taken no action designed to, or likely to have the effect of, terminating the registration of the Offered Shares and Warrant Shares under the Exchange Act or delisting the Shares from the Nasdaq, nor has the Company received any notification that the Commission or the Nasdaq is contemplating terminating such registration or listing.</w:t>
      </w:r>
    </w:p>
    <w:p>
      <w:pPr>
        <w:pStyle w:val="TextBody"/>
        <w:bidi w:val="0"/>
        <w:spacing w:lineRule="auto" w:line="288" w:before="0" w:after="240"/>
        <w:ind w:left="0" w:right="0" w:firstLine="720"/>
        <w:jc w:val="left"/>
        <w:rPr/>
      </w:pPr>
      <w:r>
        <w:rPr>
          <w:rFonts w:ascii="Times New Roman;serif" w:hAnsi="Times New Roman;serif"/>
          <w:b/>
          <w:color w:val="000000"/>
          <w:sz w:val="22"/>
        </w:rPr>
        <w:t>(q)</w:t>
      </w:r>
      <w:r>
        <w:rPr>
          <w:rFonts w:ascii="Times New Roman;serif" w:hAnsi="Times New Roman;serif"/>
          <w:b/>
          <w:i/>
          <w:color w:val="000000"/>
          <w:sz w:val="22"/>
        </w:rPr>
        <w:t>Non-Contravention of Existing Instruments; No Further Authorizations or Approvals Required</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Times New Roman;serif" w:hAnsi="Times New Roman;serif"/>
          <w:b/>
          <w:color w:val="000000"/>
          <w:sz w:val="22"/>
        </w:rPr>
        <w:t>Default</w:t>
      </w:r>
      <w:r>
        <w:rPr>
          <w:color w:val="000000"/>
        </w:rPr>
        <w:t>”</w:t>
      </w:r>
      <w:r>
        <w:rPr>
          <w:rFonts w:ascii="Times New Roman;serif" w:hAnsi="Times New Roman;serif"/>
          <w:b w:val="false"/>
          <w:color w:val="000000"/>
          <w:sz w:val="22"/>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serif" w:hAnsi="Times New Roman;serif"/>
          <w:b/>
          <w:color w:val="000000"/>
          <w:sz w:val="22"/>
        </w:rPr>
        <w:t>Existing Instrument</w:t>
      </w:r>
      <w:r>
        <w:rPr>
          <w:color w:val="000000"/>
        </w:rPr>
        <w:t>”</w:t>
      </w:r>
      <w:r>
        <w:rPr>
          <w:rFonts w:ascii="Times New Roman;serif" w:hAnsi="Times New Roman;serif"/>
          <w:b w:val="false"/>
          <w:color w:val="000000"/>
          <w:sz w:val="22"/>
        </w:rPr>
        <w:t xml:space="preserve">), except for such Defaults as would not reasonably be expected, individually or in the aggregate, to result in a Material Adverse Change. The Company’s execution, delivery and performance of this Agreement and the Pre-Funded Warrants, consummation of the transactions contemplated hereby and thereby and by the Registration Statement, the Time of Sale Prospectus and the Prospectus and the issuance and sale of the Offered Securities (including the use of proceeds from the sale of the Offered Securities as described in the Registration Statement, the Time of Sale Prospectus and the Prospectus under the caption “Use of Proceeds”) and the issuance of the Warrant Shares (i) have been duly authorized by all necessary corporate action and will not result in any violation of the provisions of the charter or by-laws, partnership agreement or operating agreement or similar organizational documents, as applicable, of the Company or any of its subsidiaries,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for such violations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the Pre-Funded Warrants and consummation of the transactions contemplated hereby and by the Registration Statement, the Time of Sale Prospectus and the </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42925"/>
                <wp:effectExtent l="0" t="0" r="0" b="0"/>
                <wp:wrapNone/>
                <wp:docPr id="12" name="Frame1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Times New Roman;serif" w:hAnsi="Times New Roman;serif"/>
          <w:b/>
          <w:color w:val="000000"/>
          <w:sz w:val="22"/>
        </w:rPr>
        <w:t>FINRA</w:t>
      </w:r>
      <w:r>
        <w:rPr>
          <w:color w:val="000000"/>
        </w:rPr>
        <w:t>”</w:t>
      </w:r>
      <w:r>
        <w:rPr>
          <w:rFonts w:ascii="Times New Roman;serif" w:hAnsi="Times New Roman;serif"/>
          <w:b w:val="false"/>
          <w:color w:val="000000"/>
          <w:sz w:val="22"/>
        </w:rPr>
        <w:t>). As used herein, a “</w:t>
      </w:r>
      <w:r>
        <w:rPr>
          <w:rFonts w:ascii="Times New Roman;serif" w:hAnsi="Times New Roman;serif"/>
          <w:b/>
          <w:color w:val="000000"/>
          <w:sz w:val="22"/>
        </w:rPr>
        <w:t>Debt Repayment Triggering Event</w:t>
      </w:r>
      <w:r>
        <w:rPr>
          <w:color w:val="000000"/>
        </w:rPr>
        <w:t xml:space="preserve">” </w:t>
      </w:r>
      <w:r>
        <w:rPr>
          <w:rFonts w:ascii="Times New Roman;serif" w:hAnsi="Times New Roman;serif"/>
          <w:b w:val="false"/>
          <w:color w:val="000000"/>
          <w:sz w:val="22"/>
        </w:rPr>
        <w:t>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lineRule="auto" w:line="288" w:before="0" w:after="240"/>
        <w:ind w:left="0" w:right="0" w:firstLine="720"/>
        <w:jc w:val="left"/>
        <w:rPr/>
      </w:pPr>
      <w:r>
        <w:rPr>
          <w:rFonts w:ascii="Times New Roman;serif" w:hAnsi="Times New Roman;serif"/>
          <w:b/>
          <w:color w:val="000000"/>
          <w:sz w:val="22"/>
        </w:rPr>
        <w:t>(r)</w:t>
      </w:r>
      <w:r>
        <w:rPr>
          <w:rFonts w:ascii="Times New Roman;serif" w:hAnsi="Times New Roman;serif"/>
          <w:b/>
          <w:i/>
          <w:color w:val="000000"/>
          <w:sz w:val="22"/>
        </w:rPr>
        <w:t>Compliance with Laws.</w:t>
      </w:r>
      <w:r>
        <w:rPr>
          <w:color w:val="000000"/>
        </w:rPr>
        <w:t xml:space="preserve"> </w:t>
      </w:r>
      <w:r>
        <w:rPr>
          <w:rFonts w:ascii="Times New Roman;serif" w:hAnsi="Times New Roman;serif"/>
          <w:b w:val="false"/>
          <w:color w:val="000000"/>
          <w:sz w:val="22"/>
        </w:rPr>
        <w:t xml:space="preserve">The Company and its subsidiaries have been and are in compliance with all applicable laws, rules and regulations, except where failure to be so in compliance would not reasonably be expected, individually or in the aggregate, to result in a Material Adverse Change. </w:t>
      </w:r>
    </w:p>
    <w:p>
      <w:pPr>
        <w:pStyle w:val="TextBody"/>
        <w:bidi w:val="0"/>
        <w:spacing w:lineRule="auto" w:line="288" w:before="0" w:after="240"/>
        <w:ind w:left="0" w:right="0" w:firstLine="720"/>
        <w:jc w:val="left"/>
        <w:rPr/>
      </w:pPr>
      <w:r>
        <w:rPr>
          <w:rFonts w:ascii="Times New Roman;serif" w:hAnsi="Times New Roman;serif"/>
          <w:b/>
          <w:color w:val="000000"/>
          <w:sz w:val="22"/>
        </w:rPr>
        <w:t>(s)</w:t>
      </w:r>
      <w:r>
        <w:rPr>
          <w:rFonts w:ascii="Times New Roman;serif" w:hAnsi="Times New Roman;serif"/>
          <w:b/>
          <w:i/>
          <w:color w:val="000000"/>
          <w:sz w:val="22"/>
        </w:rPr>
        <w:t>No Material Actions or Proceedings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There is no action, suit, proceeding, inquiry or investigation brought by or before any legal or governmental entity now pending or, to the knowledge of the Company, threatened, against or affecting the Company or any of its subsidiaries, which would reasonably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 which could be expected, individually or in the aggregate, to result in a Material Adverse Change.</w:t>
      </w:r>
    </w:p>
    <w:p>
      <w:pPr>
        <w:pStyle w:val="TextBody"/>
        <w:bidi w:val="0"/>
        <w:spacing w:lineRule="auto" w:line="288" w:before="0" w:after="240"/>
        <w:ind w:left="0" w:right="0" w:firstLine="720"/>
        <w:jc w:val="left"/>
        <w:rPr/>
      </w:pPr>
      <w:r>
        <w:rPr>
          <w:rFonts w:ascii="Times New Roman;serif" w:hAnsi="Times New Roman;serif"/>
          <w:b/>
          <w:color w:val="000000"/>
          <w:sz w:val="22"/>
        </w:rPr>
        <w:t>(t)</w:t>
      </w:r>
      <w:r>
        <w:rPr>
          <w:rFonts w:ascii="Times New Roman;serif" w:hAnsi="Times New Roman;serif"/>
          <w:b/>
          <w:i/>
          <w:color w:val="000000"/>
          <w:sz w:val="22"/>
        </w:rPr>
        <w:t>Intellectual Property Rights</w:t>
      </w:r>
      <w:r>
        <w:rPr>
          <w:rFonts w:ascii="Times New Roman;serif" w:hAnsi="Times New Roman;serif"/>
          <w:b/>
          <w:color w:val="000000"/>
          <w:sz w:val="22"/>
        </w:rPr>
        <w:t xml:space="preserve">. </w:t>
      </w:r>
      <w:r>
        <w:rPr>
          <w:rFonts w:ascii="Times New Roman;serif" w:hAnsi="Times New Roman;serif"/>
          <w:b w:val="false"/>
          <w:color w:val="000000"/>
          <w:sz w:val="22"/>
        </w:rPr>
        <w:t>The Company and its subsidiaries own, or have obtained valid and enforceable licenses for the inventions, patent applications, patents, trademarks, trade names, service names, service marks, copyrights, trade secrets, know how (including unpatented and/or unpatentable proprietary or confidential information, systems or procedures) and other intellectual property described in the Registration Statement, the Time of Sale Prospectus and the Prospectus as being owned or licensed by them and which are necessary for the conduct of their respective businesses as currently conducted or as currently proposed to be conducted (collectively, “</w:t>
      </w:r>
      <w:r>
        <w:rPr>
          <w:rFonts w:ascii="Times New Roman;serif" w:hAnsi="Times New Roman;serif"/>
          <w:b/>
          <w:color w:val="000000"/>
          <w:sz w:val="22"/>
        </w:rPr>
        <w:t>Intellectual Property</w:t>
      </w:r>
      <w:r>
        <w:rPr>
          <w:color w:val="000000"/>
        </w:rPr>
        <w:t>”</w:t>
      </w:r>
      <w:r>
        <w:rPr>
          <w:rFonts w:ascii="Times New Roman;serif" w:hAnsi="Times New Roman;serif"/>
          <w:b w:val="false"/>
          <w:color w:val="000000"/>
          <w:sz w:val="22"/>
        </w:rPr>
        <w:t xml:space="preserve">), provided that the foregoing representation is not a representation of non-infringement or no misappropriation or violation of any rights of others. The Intellectual Property of the Company has not been adjudged by a court of competent jurisdiction to be invalid or unenforceable, in whole or in part. To the Company’s knowledge: (i) there are no third parties who have rights to any Intellectual Property, including no liens, security interests, or other encumbrances, except for (A) customary reversionary rights of third-party licensors with respect to Intellectual Property that is disclosed in the Registration Statement, the Time of Sale Prospectus and the Prospectus as licensed to the Company or one or more of its subsidiaries, and (B) any co-owner of a patent or patent application within the Intellectual Property owned by the Company as co-owner of such patent or named in such patent or patent application; and (ii) there is no infringement by third parties of any Intellectual Property. To the Company’s knowledge, the patents, trademarks and copyrights held by the Company and its subsidiaries, and, those exclusively licensed by the Company and its subsidiaries included within the Intellectual Property, are valid, enforceable and subsisting, and the patent, trademark, and copyright applications held by the Company and its subsidiaries, and, to the Company’s knowledge, those licensed by the Company and its subsidiaries included within the Intellectual Property, are subsisting and have not been abandoned, except in the ordinary course of patent prosecution. All patents and patent applications owned by or, to the Company’s knowledge, licensed to the Company and its subsidiaries, or under which the Company or any of its subsidiaries has rights, have been duly and properly filed and maintained. The development, manufacture, sale, and any currently proposed use of any of the product candidates and proposed processes of the Company referred to in the Registration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42925"/>
                <wp:effectExtent l="0" t="0" r="0" b="0"/>
                <wp:wrapNone/>
                <wp:docPr id="13" name="Frame1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Statement, the Time of Sale Prospectus or the Prospectus as under development, do not currently, and will not upon commercialization, to the Company’s knowledge, infringe any right or valid patent claim of any third party. Neither the Company nor any of its subsidiaries has received any written notice of any claim of any infringement, misappropriation, or conflict with any intellectual property rights of another. There is no pending or, to the Company’s knowledge, threatened action, suit, proceeding or claim by others in writing: (A) challenging the Company’s rights in or to any Intellectual Property; (B) challenging the validity, enforceability or scope of any Intellectual Property, including no interferences, oppositions, reexaminations, or government proceedings; or (C) asserting that the Company or any of its subsidiaries infringes, misappropriates, or otherwise violates, or would, upon the commercialization of any product candidate described in the Registration Statement, the Time of Sale Prospectus or the Prospectus as under development, infringe, misappropriate, or violate, any patent, trademark, trade name, service name, copyright, trade secret or other proprietary rights of others. The Company and its subsidiaries have complied in all material respects with the material terms of each agreement pursuant to which Intellectual Property has been licensed to the Company or any of its subsidiaries, and all such agreements are in full force and effect. To the Company’s knowledge, there are no material defects in any of the patents or patent applications included in the Intellectual Property. The Company and its subsidiaries have taken all commercially reasonable and appropriate steps to protect, maintain and safeguard their Intellectual Property, including the execution of appropriate nondisclosure, confidentiality agreements and invention assignment agreements and invention assignments with their employees,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except as would not, individually or in the aggregate, reasonably be expected to result in a Material Adverse Change. To the knowledge of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subsidiaries in violation of any contractual obligation binding on the Company or its subsidiaries in violation of the rights of any persons. The Company expects the product candidates described in the Registration Statement, the Time of Sale Prospectus and the Prospectus as under development by the Company or any of its subsidiaries to fall within the scope of the claims of one or more patents owned by, or exclusively licensed to, the Company or any of its subsidiaries.</w:t>
      </w:r>
    </w:p>
    <w:p>
      <w:pPr>
        <w:pStyle w:val="TextBody"/>
        <w:bidi w:val="0"/>
        <w:spacing w:lineRule="auto" w:line="288" w:before="0" w:after="240"/>
        <w:ind w:left="0" w:right="0" w:firstLine="720"/>
        <w:jc w:val="left"/>
        <w:rPr/>
      </w:pPr>
      <w:r>
        <w:rPr>
          <w:rFonts w:ascii="Times New Roman;serif" w:hAnsi="Times New Roman;serif"/>
          <w:b/>
          <w:color w:val="000000"/>
          <w:sz w:val="22"/>
        </w:rPr>
        <w:t>(u)</w:t>
      </w:r>
      <w:r>
        <w:rPr>
          <w:rFonts w:ascii="Times New Roman;serif" w:hAnsi="Times New Roman;serif"/>
          <w:b/>
          <w:i/>
          <w:color w:val="000000"/>
          <w:sz w:val="22"/>
        </w:rPr>
        <w:t>All Necessary Permits, etc</w:t>
      </w:r>
      <w:r>
        <w:rPr>
          <w:rFonts w:ascii="Times New Roman;serif" w:hAnsi="Times New Roman;serif"/>
          <w:b w:val="false"/>
          <w:color w:val="000000"/>
          <w:sz w:val="22"/>
        </w:rPr>
        <w:t>. The Company and its subsidiaries possess such valid and current licenses, certificates, authorizations, approvals, consents or permits required by Cayman Islands, U.S. state and federal or foreign regulatory agencies or bodies to conduct their respective businesses as currently conducted and as described in the Registration Statement, the Time of Sale Prospectus or the Prospectus (“</w:t>
      </w:r>
      <w:r>
        <w:rPr>
          <w:rFonts w:ascii="Times New Roman;serif" w:hAnsi="Times New Roman;serif"/>
          <w:b/>
          <w:color w:val="000000"/>
          <w:sz w:val="22"/>
        </w:rPr>
        <w:t>Permits</w:t>
      </w:r>
      <w:r>
        <w:rPr>
          <w:color w:val="000000"/>
        </w:rPr>
        <w:t>”</w:t>
      </w:r>
      <w:r>
        <w:rPr>
          <w:rFonts w:ascii="Times New Roman;serif" w:hAnsi="Times New Roman;serif"/>
          <w:b w:val="false"/>
          <w:color w:val="000000"/>
          <w:sz w:val="22"/>
        </w:rPr>
        <w:t>) except where the failures to so possess would not, whether individually or in the aggregate, reasonably be expected to result in a Material Adverse Change. Neither the Company nor any of its subsidiaries is in violation of, or in default under, any of the Permits or, since June 13, 2025 (the “</w:t>
      </w:r>
      <w:r>
        <w:rPr>
          <w:rFonts w:ascii="Times New Roman;serif" w:hAnsi="Times New Roman;serif"/>
          <w:b/>
          <w:color w:val="000000"/>
          <w:sz w:val="22"/>
        </w:rPr>
        <w:t>Merger Date</w:t>
      </w:r>
      <w:r>
        <w:rPr>
          <w:color w:val="000000"/>
        </w:rPr>
        <w:t>”</w:t>
      </w:r>
      <w:r>
        <w:rPr>
          <w:rFonts w:ascii="Times New Roman;serif" w:hAnsi="Times New Roman;serif"/>
          <w:b w:val="false"/>
          <w:color w:val="000000"/>
          <w:sz w:val="22"/>
        </w:rPr>
        <w:t xml:space="preserve">), and to the Company’s knowledge, prior to the Merger Date, has received any written notice of proceedings relating to the revocation or adverse modification of, or non-compliance with, any such certificate, authorization or permit, where the revocation, adverse modification or non-compliance of such Permits, whether individually or in the aggregate, would reasonably be expected to result in a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42925"/>
                <wp:effectExtent l="0" t="0" r="0" b="0"/>
                <wp:wrapNone/>
                <wp:docPr id="14" name="Frame1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Material Adverse Change. Except as would not, whether individually or in the aggregate, reasonably be expected to result in a Material Adverse Change, since the Merger Date, and to the Company’s knowledge, prior to the Merger Date, the Company and each of its subsidiaries has filed, obtained, maintained or submitted all reports, documents, forms, notices, applications, records, claims, submissions and supplements or amendments as required by any Permits and that all such reports, documents, forms, notices, applications, records, claims, submissions and supplements or amendments were timely, complete, correct and not misleading on the date filed (or were corrected or supplemented by a subsequent submission).</w:t>
      </w:r>
    </w:p>
    <w:p>
      <w:pPr>
        <w:pStyle w:val="TextBody"/>
        <w:bidi w:val="0"/>
        <w:spacing w:lineRule="auto" w:line="288" w:before="0" w:after="240"/>
        <w:ind w:left="0" w:right="0" w:firstLine="720"/>
        <w:jc w:val="left"/>
        <w:rPr/>
      </w:pPr>
      <w:r>
        <w:rPr>
          <w:rFonts w:ascii="Times New Roman;serif" w:hAnsi="Times New Roman;serif"/>
          <w:b/>
          <w:color w:val="000000"/>
          <w:sz w:val="22"/>
        </w:rPr>
        <w:t>(v)</w:t>
      </w:r>
      <w:r>
        <w:rPr>
          <w:rFonts w:ascii="Times New Roman;serif" w:hAnsi="Times New Roman;serif"/>
          <w:b/>
          <w:i/>
          <w:color w:val="000000"/>
          <w:sz w:val="22"/>
        </w:rPr>
        <w:t>Title to Properties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Except as would not reasonably be expected, individually or in the aggregate, to result in a Material Adverse Change, the Company and its subsidiaries have good and marketable title to all of the real and personal property and other assets reflected as owned in the financial statements referred to in Section 1(j) above (or elsewhere in the Registration Statement, the Time of Sale Prospectus or the Prospectus), in each case free and clear of any security interests, mortgages, liens, encumbrances, equities, adverse claims and other defects.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 The Company and its subsidiaries do not own any real property.</w:t>
      </w:r>
    </w:p>
    <w:p>
      <w:pPr>
        <w:pStyle w:val="TextBody"/>
        <w:bidi w:val="0"/>
        <w:spacing w:lineRule="auto" w:line="288" w:before="0" w:after="240"/>
        <w:ind w:left="0" w:right="0" w:firstLine="720"/>
        <w:jc w:val="left"/>
        <w:rPr/>
      </w:pPr>
      <w:r>
        <w:rPr>
          <w:rFonts w:ascii="Times New Roman;serif" w:hAnsi="Times New Roman;serif"/>
          <w:b/>
          <w:color w:val="000000"/>
          <w:sz w:val="22"/>
        </w:rPr>
        <w:t>(w)</w:t>
      </w:r>
      <w:r>
        <w:rPr>
          <w:rFonts w:ascii="Times New Roman;serif" w:hAnsi="Times New Roman;serif"/>
          <w:b/>
          <w:i/>
          <w:color w:val="000000"/>
          <w:sz w:val="22"/>
        </w:rPr>
        <w:t>Tax Law Compliance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Except as could not be expected, individually or in the aggregate, to result in a Material Adverse Change,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Except as could not be expected, individually or in the aggregate, to result in a Material Adverse Change, the Company has made adequate charges, accruals and reserves in the applicable financial statements referred to in Section 1(j) above in respect of all federal, state and foreign income and franchise taxes for all periods as to which the tax liability of the Company or any of its subsidiaries has not been finally determined. </w:t>
      </w:r>
    </w:p>
    <w:p>
      <w:pPr>
        <w:pStyle w:val="TextBody"/>
        <w:bidi w:val="0"/>
        <w:spacing w:lineRule="auto" w:line="288" w:before="0" w:after="240"/>
        <w:ind w:left="0" w:right="0" w:firstLine="720"/>
        <w:jc w:val="left"/>
        <w:rPr/>
      </w:pPr>
      <w:r>
        <w:rPr>
          <w:rFonts w:ascii="Times New Roman;serif" w:hAnsi="Times New Roman;serif"/>
          <w:b/>
          <w:color w:val="000000"/>
          <w:sz w:val="22"/>
        </w:rPr>
        <w:t>(x)</w:t>
      </w:r>
      <w:r>
        <w:rPr>
          <w:rFonts w:ascii="Times New Roman;serif" w:hAnsi="Times New Roman;serif"/>
          <w:b/>
          <w:i/>
          <w:color w:val="000000"/>
          <w:sz w:val="22"/>
        </w:rPr>
        <w:t xml:space="preserve">No Stamp or Transfer Taxes. </w:t>
      </w:r>
      <w:r>
        <w:rPr>
          <w:rFonts w:ascii="Times New Roman;serif" w:hAnsi="Times New Roman;serif"/>
          <w:b w:val="false"/>
          <w:color w:val="000000"/>
          <w:sz w:val="22"/>
        </w:rPr>
        <w:t>No documentary, registration, transfer, stamp or other similar taxes or duties including, for the avoidance of doubt, Cayman Islands stamp duty and Cayman Islands stamp duty reserve tax (“</w:t>
      </w:r>
      <w:r>
        <w:rPr>
          <w:rFonts w:ascii="Times New Roman;serif" w:hAnsi="Times New Roman;serif"/>
          <w:b/>
          <w:color w:val="000000"/>
          <w:sz w:val="22"/>
        </w:rPr>
        <w:t>Transfer Taxes</w:t>
      </w:r>
      <w:r>
        <w:rPr>
          <w:color w:val="000000"/>
        </w:rPr>
        <w:t>”</w:t>
      </w:r>
      <w:r>
        <w:rPr>
          <w:rFonts w:ascii="Times New Roman;serif" w:hAnsi="Times New Roman;serif"/>
          <w:b w:val="false"/>
          <w:color w:val="000000"/>
          <w:sz w:val="22"/>
        </w:rPr>
        <w:t>) are payable by or on behalf of the Underwriters, the Company or any of its subsidiaries in the Cayman Islands or to any taxing authority thereof or therein in connection with (i) the execution, delivery or consummation of this Agreement, (ii) the creation, allotment and issuance of the Offered Shares and the Pre-Funded Warrants, (iii) the initial sale and delivery of the Offered Shares and the Pre-Funded Warrants to the Underwriters or purchasers procured by the Underwriters in the manner contemplated herein, or (iv) the resale and delivery of the Offered Shares and the Pre-Funded Warrants by the Underwriters in the manner contemplated herein.</w:t>
      </w:r>
    </w:p>
    <w:p>
      <w:pPr>
        <w:pStyle w:val="TextBody"/>
        <w:bidi w:val="0"/>
        <w:spacing w:lineRule="auto" w:line="288" w:before="0" w:after="240"/>
        <w:ind w:left="0" w:right="0" w:firstLine="720"/>
        <w:jc w:val="left"/>
        <w:rPr/>
      </w:pPr>
      <w:r>
        <w:rPr>
          <w:rFonts w:ascii="Times New Roman;serif" w:hAnsi="Times New Roman;serif"/>
          <w:b/>
          <w:color w:val="000000"/>
          <w:sz w:val="22"/>
        </w:rPr>
        <w:t>(y)</w:t>
      </w:r>
      <w:r>
        <w:rPr>
          <w:rFonts w:ascii="Times New Roman;serif" w:hAnsi="Times New Roman;serif"/>
          <w:b/>
          <w:i/>
          <w:color w:val="000000"/>
          <w:sz w:val="22"/>
        </w:rPr>
        <w:t>Insurance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Each of the Company and its subsidiaries are insured by recognized, financially sound and reputable institutions with policies in such amounts and with such deductibles and covering such risks as the Company reasonably believes are generally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42925"/>
                <wp:effectExtent l="0" t="0" r="0" b="0"/>
                <wp:wrapNone/>
                <wp:docPr id="15" name="Frame1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individually or in the aggregate, to result in a Material Adverse Change. Neither the Company nor any of its subsidiaries has been denied any insurance coverage which it has sought or for which it has applied.</w:t>
      </w:r>
    </w:p>
    <w:p>
      <w:pPr>
        <w:pStyle w:val="TextBody"/>
        <w:bidi w:val="0"/>
        <w:spacing w:lineRule="auto" w:line="288" w:before="0" w:after="240"/>
        <w:ind w:left="0" w:right="0" w:firstLine="720"/>
        <w:jc w:val="left"/>
        <w:rPr/>
      </w:pPr>
      <w:r>
        <w:rPr>
          <w:rFonts w:ascii="Times New Roman;serif" w:hAnsi="Times New Roman;serif"/>
          <w:b/>
          <w:color w:val="000000"/>
          <w:sz w:val="22"/>
        </w:rPr>
        <w:t>(z)</w:t>
      </w:r>
      <w:r>
        <w:rPr>
          <w:rFonts w:ascii="Times New Roman;serif" w:hAnsi="Times New Roman;serif"/>
          <w:b/>
          <w:i/>
          <w:color w:val="000000"/>
          <w:sz w:val="22"/>
        </w:rPr>
        <w:t>Compliance with Environmental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Except as would not reasonably be expected, individually or in the aggregate, to result in a Material Adverse Change: (i) neither the Company nor any of its subsidiaries is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serif" w:hAnsi="Times New Roman;serif"/>
          <w:b/>
          <w:color w:val="000000"/>
          <w:sz w:val="22"/>
        </w:rPr>
        <w:t>Hazardous Materials</w:t>
      </w:r>
      <w:r>
        <w:rPr>
          <w:color w:val="000000"/>
        </w:rPr>
        <w:t>”</w:t>
      </w:r>
      <w:r>
        <w:rPr>
          <w:rFonts w:ascii="Times New Roman;serif" w:hAnsi="Times New Roman;serif"/>
          <w:b w:val="false"/>
          <w:color w:val="000000"/>
          <w:sz w:val="22"/>
        </w:rPr>
        <w:t>) or to the manufacture, processing, distribution, use, treatment, storage, disposal, transport or handling of Hazardous Materials (collectively, “</w:t>
      </w:r>
      <w:r>
        <w:rPr>
          <w:rFonts w:ascii="Times New Roman;serif" w:hAnsi="Times New Roman;serif"/>
          <w:b/>
          <w:color w:val="000000"/>
          <w:sz w:val="22"/>
        </w:rPr>
        <w:t>Environmental Laws</w:t>
      </w:r>
      <w:r>
        <w:rPr>
          <w:color w:val="000000"/>
        </w:rPr>
        <w:t>”</w:t>
      </w:r>
      <w:r>
        <w:rPr>
          <w:rFonts w:ascii="Times New Roman;serif" w:hAnsi="Times New Roman;serif"/>
          <w:b w:val="false"/>
          <w:color w:val="000000"/>
          <w:sz w:val="22"/>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pStyle w:val="TextBody"/>
        <w:bidi w:val="0"/>
        <w:spacing w:lineRule="auto" w:line="288" w:before="0" w:after="240"/>
        <w:ind w:left="0" w:right="0" w:firstLine="720"/>
        <w:jc w:val="left"/>
        <w:rPr/>
      </w:pPr>
      <w:r>
        <w:rPr>
          <w:rFonts w:ascii="Times New Roman;serif" w:hAnsi="Times New Roman;serif"/>
          <w:b/>
          <w:color w:val="000000"/>
          <w:sz w:val="22"/>
        </w:rPr>
        <w:t>(aa)</w:t>
      </w:r>
      <w:r>
        <w:rPr>
          <w:rFonts w:ascii="Times New Roman;serif" w:hAnsi="Times New Roman;serif"/>
          <w:b/>
          <w:color w:val="000000"/>
          <w:sz w:val="22"/>
        </w:rPr>
        <w:t>[</w:t>
      </w:r>
      <w:r>
        <w:rPr>
          <w:rFonts w:ascii="Times New Roman;serif" w:hAnsi="Times New Roman;serif"/>
          <w:b/>
          <w:i/>
          <w:color w:val="000000"/>
          <w:sz w:val="22"/>
        </w:rPr>
        <w:t>Reserved.</w:t>
      </w:r>
      <w:r>
        <w:rPr>
          <w:rFonts w:ascii="Times New Roman;serif" w:hAnsi="Times New Roman;serif"/>
          <w:b/>
          <w:color w:val="000000"/>
          <w:sz w:val="22"/>
        </w:rPr>
        <w:t>]</w:t>
        <w:br/>
        <w:br/>
        <w:t>    (bb)    </w:t>
      </w:r>
      <w:r>
        <w:rPr>
          <w:rFonts w:ascii="Times New Roman;serif" w:hAnsi="Times New Roman;serif"/>
          <w:b/>
          <w:i/>
          <w:color w:val="000000"/>
          <w:sz w:val="22"/>
        </w:rPr>
        <w:t>ERISA Compliance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Except as could not be expected, individually or in the aggregate, to result in a Material Adverse Change, (i) the Company and its subsidiaries and any “employee benefit plan” (as defined under the Employee Retirement Income Security Act of 1974, as amended, and the regulations and published interpretations thereunder (collectively, “</w:t>
      </w:r>
      <w:r>
        <w:rPr>
          <w:rFonts w:ascii="Times New Roman;serif" w:hAnsi="Times New Roman;serif"/>
          <w:b/>
          <w:color w:val="000000"/>
          <w:sz w:val="22"/>
        </w:rPr>
        <w:t>ERISA</w:t>
      </w:r>
      <w:r>
        <w:rPr>
          <w:color w:val="000000"/>
        </w:rPr>
        <w:t>”</w:t>
      </w:r>
      <w:r>
        <w:rPr>
          <w:rFonts w:ascii="Times New Roman;serif" w:hAnsi="Times New Roman;serif"/>
          <w:b w:val="false"/>
          <w:color w:val="000000"/>
          <w:sz w:val="22"/>
        </w:rPr>
        <w:t>)) established or maintained by the Company, its subsidiaries or their “ERISA Affiliates” (as defined below) are in compliance in all material respects with ERISA; (ii) no “reportable event” (as defined under ERISA) has occurred or is reasonably expected to occur with respect to any “employee benefit plan” established or maintained by the Company, its subsidiaries or any of their ERISA Affiliates; (iii) no “employee benefit plan” established or maintained by the Company, its subsidiaries or any of their ERISA Affiliates, if such “employee benefit plan” were terminated, would have any “amount of unfunded benefit liabilities” (as defined under ERISA); (iv) neither the Company, its subsidiaries nor any of their ERISA Affiliates has incurred or reasonably expects to incur any liability under (x) Title IV of ERISA with respect to termination of, or withdrawal from, any “employee benefit plan” or (y) Sections 412, 4971, 4975 or 4980B of the Code; and (v)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 “</w:t>
      </w:r>
      <w:r>
        <w:rPr>
          <w:rFonts w:ascii="Times New Roman;serif" w:hAnsi="Times New Roman;serif"/>
          <w:b/>
          <w:color w:val="000000"/>
          <w:sz w:val="22"/>
        </w:rPr>
        <w:t>ERISA Affiliate</w:t>
      </w:r>
      <w:r>
        <w:rPr>
          <w:color w:val="000000"/>
        </w:rPr>
        <w:t xml:space="preserve">” </w:t>
      </w:r>
      <w:r>
        <w:rPr>
          <w:rFonts w:ascii="Times New Roman;serif" w:hAnsi="Times New Roman;serif"/>
          <w:b w:val="false"/>
          <w:color w:val="000000"/>
          <w:sz w:val="22"/>
        </w:rPr>
        <w:t xml:space="preserve">means, with respect to the Company or any of its subsidiaries, any member of any group of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42925"/>
                <wp:effectExtent l="0" t="0" r="0" b="0"/>
                <wp:wrapNone/>
                <wp:docPr id="16" name="Frame1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organizations described in Sections 414(b), (c), (m) or (o) of the Internal Revenue Code of 1986, as amended, and the regulations and published interpretations thereunder (the “</w:t>
      </w:r>
      <w:r>
        <w:rPr>
          <w:rFonts w:ascii="Times New Roman;serif" w:hAnsi="Times New Roman;serif"/>
          <w:b/>
          <w:color w:val="000000"/>
          <w:sz w:val="22"/>
        </w:rPr>
        <w:t>Code</w:t>
      </w:r>
      <w:r>
        <w:rPr>
          <w:color w:val="000000"/>
        </w:rPr>
        <w:t>”</w:t>
      </w:r>
      <w:r>
        <w:rPr>
          <w:rFonts w:ascii="Times New Roman;serif" w:hAnsi="Times New Roman;serif"/>
          <w:b w:val="false"/>
          <w:color w:val="000000"/>
          <w:sz w:val="22"/>
        </w:rPr>
        <w:t>) of which the Company or such subsidiary is a member.</w:t>
        <w:br/>
        <w:br/>
        <w:t>    </w:t>
      </w:r>
      <w:r>
        <w:rPr>
          <w:rFonts w:ascii="Times New Roman;serif" w:hAnsi="Times New Roman;serif"/>
          <w:b/>
          <w:color w:val="000000"/>
          <w:sz w:val="22"/>
        </w:rPr>
        <w:t>(cc)    </w:t>
      </w:r>
      <w:r>
        <w:rPr>
          <w:rFonts w:ascii="Times New Roman;serif" w:hAnsi="Times New Roman;serif"/>
          <w:b/>
          <w:i/>
          <w:color w:val="000000"/>
          <w:sz w:val="22"/>
        </w:rPr>
        <w:t>Company Not an “Investment Company.”</w:t>
      </w:r>
      <w:r>
        <w:rPr>
          <w:color w:val="000000"/>
        </w:rPr>
        <w:t xml:space="preserve"> </w:t>
      </w:r>
      <w:r>
        <w:rPr>
          <w:rFonts w:ascii="Times New Roman;serif" w:hAnsi="Times New Roman;serif"/>
          <w:b w:val="false"/>
          <w:color w:val="000000"/>
          <w:sz w:val="22"/>
        </w:rPr>
        <w:t>The Company is not, and will not be, either after receipt of payment for the Offered Securities or 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serif" w:hAnsi="Times New Roman;serif"/>
          <w:b/>
          <w:color w:val="000000"/>
          <w:sz w:val="22"/>
        </w:rPr>
        <w:t>Investment Company Act</w:t>
      </w:r>
      <w:r>
        <w:rPr>
          <w:color w:val="000000"/>
        </w:rPr>
        <w:t>”</w:t>
      </w:r>
      <w:r>
        <w:rPr>
          <w:rFonts w:ascii="Times New Roman;serif" w:hAnsi="Times New Roman;serif"/>
          <w:b w:val="false"/>
          <w:color w:val="000000"/>
          <w:sz w:val="22"/>
        </w:rPr>
        <w:t>).</w:t>
        <w:br/>
        <w:br/>
        <w:t>    </w:t>
      </w:r>
      <w:r>
        <w:rPr>
          <w:rFonts w:ascii="Times New Roman;serif" w:hAnsi="Times New Roman;serif"/>
          <w:b/>
          <w:color w:val="000000"/>
          <w:sz w:val="22"/>
        </w:rPr>
        <w:t>(dd)    </w:t>
      </w:r>
      <w:r>
        <w:rPr>
          <w:rFonts w:ascii="Times New Roman;serif" w:hAnsi="Times New Roman;serif"/>
          <w:b/>
          <w:i/>
          <w:color w:val="000000"/>
          <w:sz w:val="22"/>
        </w:rPr>
        <w:t>No Price Stabilization or Manipulation; Compliance with Regulation M</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Neither the Company nor any of its subsidiaries has taken, directly or indirectly, and without giving effect to any activities by the Underwriters, any action designed to or that would reasonably be expected to cause or result in stabilization or manipulation of the price of the Shares or of any “reference security” (as defined in Rule 100 of Regulation M under the Exchange Act (“</w:t>
      </w:r>
      <w:r>
        <w:rPr>
          <w:rFonts w:ascii="Times New Roman;serif" w:hAnsi="Times New Roman;serif"/>
          <w:b/>
          <w:color w:val="000000"/>
          <w:sz w:val="22"/>
        </w:rPr>
        <w:t>Regulation M</w:t>
      </w:r>
      <w:r>
        <w:rPr>
          <w:color w:val="000000"/>
        </w:rPr>
        <w:t>”</w:t>
      </w:r>
      <w:r>
        <w:rPr>
          <w:rFonts w:ascii="Times New Roman;serif" w:hAnsi="Times New Roman;serif"/>
          <w:b w:val="false"/>
          <w:color w:val="000000"/>
          <w:sz w:val="22"/>
        </w:rPr>
        <w:t>)) with respect to the Shares, whether to facilitate the sale or resale of the Offered Securities or otherwise, and has taken no action which would directly or indirectly violate Regulation M.</w:t>
        <w:br/>
        <w:br/>
        <w:t>    </w:t>
      </w:r>
      <w:r>
        <w:rPr>
          <w:rFonts w:ascii="Times New Roman;serif" w:hAnsi="Times New Roman;serif"/>
          <w:b/>
          <w:color w:val="000000"/>
          <w:sz w:val="22"/>
        </w:rPr>
        <w:t>(ee)    </w:t>
      </w:r>
      <w:r>
        <w:rPr>
          <w:rFonts w:ascii="Times New Roman;serif" w:hAnsi="Times New Roman;serif"/>
          <w:b/>
          <w:i/>
          <w:color w:val="000000"/>
          <w:sz w:val="22"/>
        </w:rPr>
        <w:t>Related-Party Transactions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There are no business relationships or related-party transactions involving the Company or any of its subsidiaries or any other person required to be described in the Registration Statement, the Time of Sale Prospectus or the Prospectus that have not been described as required.</w:t>
        <w:br/>
        <w:br/>
        <w:t>    </w:t>
      </w:r>
      <w:r>
        <w:rPr>
          <w:rFonts w:ascii="Times New Roman;serif" w:hAnsi="Times New Roman;serif"/>
          <w:b/>
          <w:color w:val="000000"/>
          <w:sz w:val="22"/>
        </w:rPr>
        <w:t>(ff)    </w:t>
      </w:r>
      <w:r>
        <w:rPr>
          <w:rFonts w:ascii="Times New Roman;serif" w:hAnsi="Times New Roman;serif"/>
          <w:b/>
          <w:i/>
          <w:color w:val="000000"/>
          <w:sz w:val="22"/>
        </w:rPr>
        <w:t>FINRA Matters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All of the information provided to the Underwriters or to counsel for the Underwriters by the Company, its counsel, its officers and directors and, to the Company’s knowledge, the holders of any securities (debt or equity) or options to acquire any securities of the Company in connection with the offering of the Offered Securities is true, complete and correct in all material respects and compliant with FINRA’s rules and any letters, filings or other supplemental information provided to FINRA pursuant to FINRA Rules or NASD Conduct Rules is true, complete and correct in all material respects.</w:t>
        <w:br/>
        <w:br/>
        <w:t>    </w:t>
      </w:r>
      <w:r>
        <w:rPr>
          <w:rFonts w:ascii="Times New Roman;serif" w:hAnsi="Times New Roman;serif"/>
          <w:b/>
          <w:color w:val="000000"/>
          <w:sz w:val="22"/>
        </w:rPr>
        <w:t>(gg)    </w:t>
      </w:r>
      <w:r>
        <w:rPr>
          <w:rFonts w:ascii="Times New Roman;serif" w:hAnsi="Times New Roman;serif"/>
          <w:b/>
          <w:i/>
          <w:color w:val="000000"/>
          <w:sz w:val="22"/>
        </w:rPr>
        <w:t>Parties to Lock-Up Agreements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Company has furnished to the Underwriters a letter agreement in the form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Lock-up Agreement</w:t>
      </w:r>
      <w:r>
        <w:rPr>
          <w:color w:val="000000"/>
        </w:rPr>
        <w:t>”</w:t>
      </w:r>
      <w:r>
        <w:rPr>
          <w:rFonts w:ascii="Times New Roman;serif" w:hAnsi="Times New Roman;serif"/>
          <w:b w:val="false"/>
          <w:color w:val="000000"/>
          <w:sz w:val="22"/>
        </w:rPr>
        <w:t>) from the directors and executive officers of the Company and from certain securityholders of the Company. If any additional persons shall become directors or executive officers (as defined in Rule 16a-1(f) under the Exchange Act) of the Company prior to the end of the Company Lock-up Period (as defined below), the Company shall cause each such person, prior to or contemporaneously with their appointment or election as a director or executive officer of the Company, to execute and deliver to the Representatives a Lock-up Agreement.</w:t>
        <w:br/>
        <w:br/>
        <w:t>    </w:t>
      </w:r>
      <w:r>
        <w:rPr>
          <w:rFonts w:ascii="Times New Roman;serif" w:hAnsi="Times New Roman;serif"/>
          <w:b/>
          <w:color w:val="000000"/>
          <w:sz w:val="22"/>
        </w:rPr>
        <w:t>(hh)    </w:t>
      </w:r>
      <w:r>
        <w:rPr>
          <w:rFonts w:ascii="Times New Roman;serif" w:hAnsi="Times New Roman;serif"/>
          <w:b/>
          <w:i/>
          <w:color w:val="000000"/>
          <w:sz w:val="22"/>
        </w:rPr>
        <w:t>Statistical and Market-Related Data</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All statistical, demographic and market-related data included in the Registration Statement, the Time of Sale Prospectus or the Prospectus are based on or derived from sources that the Company believes, after reasonable inquiry, to be reliable and accurate in all material respects. To the extent required, the Company has obtained the written consent to the use of such data from such sources.</w:t>
        <w:br/>
        <w:br/>
        <w:t>    </w:t>
      </w:r>
      <w:r>
        <w:rPr>
          <w:rFonts w:ascii="Times New Roman;serif" w:hAnsi="Times New Roman;serif"/>
          <w:b/>
          <w:color w:val="000000"/>
          <w:sz w:val="22"/>
        </w:rPr>
        <w:t>(ii)    </w:t>
      </w:r>
      <w:r>
        <w:rPr>
          <w:rFonts w:ascii="Times New Roman;serif" w:hAnsi="Times New Roman;serif"/>
          <w:b/>
          <w:i/>
          <w:color w:val="000000"/>
          <w:sz w:val="22"/>
        </w:rPr>
        <w:t>Sarbanes-Oxley Act.</w:t>
      </w:r>
      <w:r>
        <w:rPr>
          <w:color w:val="000000"/>
        </w:rPr>
        <w:t xml:space="preserve"> </w:t>
      </w:r>
      <w:r>
        <w:rPr>
          <w:rFonts w:ascii="Times New Roman;serif" w:hAnsi="Times New Roman;serif"/>
          <w:b w:val="false"/>
          <w:color w:val="000000"/>
          <w:sz w:val="22"/>
        </w:rPr>
        <w:t xml:space="preserve">There is, and has been, no failure on the part of the Company or any of its directors or officers, in their capacities as such, to comply with any applicable provision of the </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42925"/>
                <wp:effectExtent l="0" t="0" r="0" b="0"/>
                <wp:wrapNone/>
                <wp:docPr id="17" name="Frame1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Sarbanes-Oxley Act of 2002, as amended and the rules and regulations promulgated in connection therewith, including Section 402 related to loans and Sections 302 and 906 related to certifications.</w:t>
        <w:br/>
        <w:br/>
        <w:t>    </w:t>
      </w:r>
      <w:r>
        <w:rPr>
          <w:rFonts w:ascii="Times New Roman;serif" w:hAnsi="Times New Roman;serif"/>
          <w:b/>
          <w:color w:val="000000"/>
          <w:sz w:val="22"/>
        </w:rPr>
        <w:t>(jj)    </w:t>
      </w:r>
      <w:r>
        <w:rPr>
          <w:rFonts w:ascii="Times New Roman;serif" w:hAnsi="Times New Roman;serif"/>
          <w:b/>
          <w:i/>
          <w:color w:val="000000"/>
          <w:sz w:val="22"/>
        </w:rPr>
        <w:t>No Unlawful Contributions or Other Payments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Neither the Company nor any of its subsidiaries nor, to the Company’s knowledge, any employee or agent of the Company or any subsidiary, has made any contribution or other payment to any official of, or candidate for, any federal, state or foreign office in violation of any applicable law or of the character required to be disclosed in the Registration Statement, the Time of Sale Prospectus or the Prospectus.</w:t>
        <w:br/>
        <w:br/>
        <w:t>    </w:t>
      </w:r>
      <w:r>
        <w:rPr>
          <w:rFonts w:ascii="Times New Roman;serif" w:hAnsi="Times New Roman;serif"/>
          <w:b/>
          <w:color w:val="000000"/>
          <w:sz w:val="22"/>
        </w:rPr>
        <w:t>(kk)    </w:t>
      </w:r>
      <w:r>
        <w:rPr>
          <w:rFonts w:ascii="Times New Roman;serif" w:hAnsi="Times New Roman;serif"/>
          <w:b/>
          <w:i/>
          <w:color w:val="000000"/>
          <w:sz w:val="22"/>
        </w:rPr>
        <w:t>Anti-Corruption and Anti-Bribery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serif" w:hAnsi="Times New Roman;serif"/>
          <w:b/>
          <w:color w:val="000000"/>
          <w:sz w:val="22"/>
        </w:rPr>
        <w:t>FCPA</w:t>
      </w:r>
      <w:r>
        <w:rPr>
          <w:color w:val="000000"/>
        </w:rPr>
        <w:t>”</w:t>
      </w:r>
      <w:r>
        <w:rPr>
          <w:rFonts w:ascii="Times New Roman;serif" w:hAnsi="Times New Roman;serif"/>
          <w:b w:val="false"/>
          <w:color w:val="000000"/>
          <w:sz w:val="22"/>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reasonably designed to ensure, and which are reasonably expected to continue to ensure, continued compliance therewith.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anti-bribery or anti-corruption laws.</w:t>
        <w:br/>
        <w:br/>
        <w:t>    </w:t>
      </w:r>
      <w:r>
        <w:rPr>
          <w:rFonts w:ascii="Times New Roman;serif" w:hAnsi="Times New Roman;serif"/>
          <w:b/>
          <w:color w:val="000000"/>
          <w:sz w:val="22"/>
        </w:rPr>
        <w:t>(ll)    </w:t>
      </w:r>
      <w:r>
        <w:rPr>
          <w:rFonts w:ascii="Times New Roman;serif" w:hAnsi="Times New Roman;serif"/>
          <w:b/>
          <w:i/>
          <w:color w:val="000000"/>
          <w:sz w:val="22"/>
        </w:rPr>
        <w:t>Money Laundering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serif" w:hAnsi="Times New Roman;serif"/>
          <w:b/>
          <w:color w:val="000000"/>
          <w:sz w:val="22"/>
        </w:rPr>
        <w:t>Money Laundering Laws</w:t>
      </w:r>
      <w:r>
        <w:rPr>
          <w:color w:val="000000"/>
        </w:rPr>
        <w:t>”</w:t>
      </w:r>
      <w:r>
        <w:rPr>
          <w:rFonts w:ascii="Times New Roman;serif" w:hAnsi="Times New Roman;serif"/>
          <w:b w:val="false"/>
          <w:color w:val="000000"/>
          <w:sz w:val="22"/>
        </w:rPr>
        <w:t>) and no action, suit or proceeding by or before any court or governmental agency, authority or body or any arbitrator involving the Company or any of its subsidiaries with respect to the Money Laundering Laws is pending or, to the knowledge of the Company, threatened.</w:t>
        <w:br/>
        <w:br/>
        <w:t>    </w:t>
      </w:r>
      <w:r>
        <w:rPr>
          <w:rFonts w:ascii="Times New Roman;serif" w:hAnsi="Times New Roman;serif"/>
          <w:b/>
          <w:color w:val="000000"/>
          <w:sz w:val="22"/>
        </w:rPr>
        <w:t>(mm)    </w:t>
      </w:r>
      <w:r>
        <w:rPr>
          <w:rFonts w:ascii="Times New Roman;serif" w:hAnsi="Times New Roman;serif"/>
          <w:b/>
          <w:i/>
          <w:color w:val="000000"/>
          <w:sz w:val="22"/>
        </w:rPr>
        <w:t>Sanctions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Neither the Company nor any of its subsidiaries, directors, officers or employees, nor, to the knowledge of the Company,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serif" w:hAnsi="Times New Roman;serif"/>
          <w:b/>
          <w:color w:val="000000"/>
          <w:sz w:val="22"/>
        </w:rPr>
        <w:t>OFAC</w:t>
      </w:r>
      <w:r>
        <w:rPr>
          <w:color w:val="000000"/>
        </w:rPr>
        <w:t>”</w:t>
      </w:r>
      <w:r>
        <w:rPr>
          <w:rFonts w:ascii="Times New Roman;serif" w:hAnsi="Times New Roman;serif"/>
          <w:b w:val="false"/>
          <w:color w:val="000000"/>
          <w:sz w:val="22"/>
        </w:rPr>
        <w:t>) or the U.S. Department of State, the United Nations Security Council, the European Union, His Majesty’s Treasury of the United Kingdom, or other relevant sanctions authority (collectively, “</w:t>
      </w:r>
      <w:r>
        <w:rPr>
          <w:rFonts w:ascii="Times New Roman;serif" w:hAnsi="Times New Roman;serif"/>
          <w:b/>
          <w:color w:val="000000"/>
          <w:sz w:val="22"/>
        </w:rPr>
        <w:t>Sanctions</w:t>
      </w:r>
      <w:r>
        <w:rPr>
          <w:color w:val="000000"/>
        </w:rPr>
        <w:t>”</w:t>
      </w:r>
      <w:r>
        <w:rPr>
          <w:rFonts w:ascii="Times New Roman;serif" w:hAnsi="Times New Roman;serif"/>
          <w:b w:val="false"/>
          <w:color w:val="000000"/>
          <w:sz w:val="22"/>
        </w:rPr>
        <w:t xml:space="preserve">); nor is the Company or any of its subsidiaries located, organized or resident in a country or territory that is the subject or the target of comprehensive Sanctions (including Crimea, so-called Donetsk People’s Republic </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42925"/>
                <wp:effectExtent l="0" t="0" r="0" b="0"/>
                <wp:wrapNone/>
                <wp:docPr id="18" name="Frame1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and so-called Luhansk People’s Republic regions of Ukraine, Cuba, Iran, Syria (prior to July 1, 2025) and North Korea) (collectively, the “</w:t>
      </w:r>
      <w:r>
        <w:rPr>
          <w:rFonts w:ascii="Times New Roman;serif" w:hAnsi="Times New Roman;serif"/>
          <w:b/>
          <w:color w:val="000000"/>
          <w:sz w:val="22"/>
        </w:rPr>
        <w:t>Sanctioned Countries</w:t>
      </w:r>
      <w:r>
        <w:rPr>
          <w:color w:val="000000"/>
        </w:rPr>
        <w:t>”</w:t>
      </w:r>
      <w:r>
        <w:rPr>
          <w:rFonts w:ascii="Times New Roman;serif" w:hAnsi="Times New Roman;serif"/>
          <w:b w:val="false"/>
          <w:color w:val="000000"/>
          <w:sz w:val="22"/>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w:t>
        <w:br/>
        <w:br/>
        <w:t>    </w:t>
      </w:r>
      <w:r>
        <w:rPr>
          <w:rFonts w:ascii="Times New Roman;serif" w:hAnsi="Times New Roman;serif"/>
          <w:b/>
          <w:color w:val="000000"/>
          <w:sz w:val="22"/>
        </w:rPr>
        <w:t>(nn)    </w:t>
      </w:r>
      <w:r>
        <w:rPr>
          <w:rFonts w:ascii="Times New Roman;serif" w:hAnsi="Times New Roman;serif"/>
          <w:b/>
          <w:i/>
          <w:color w:val="000000"/>
          <w:sz w:val="22"/>
        </w:rPr>
        <w:t>Brokers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Except pursuant to this Agreement, there is no broker, finder or other party that is entitled to receive from the Company any brokerage or finder’s fee or other fee or commission as a result of any transactions contemplated by this Agreement.</w:t>
        <w:br/>
        <w:br/>
        <w:t>    </w:t>
      </w:r>
      <w:r>
        <w:rPr>
          <w:rFonts w:ascii="Times New Roman;serif" w:hAnsi="Times New Roman;serif"/>
          <w:b/>
          <w:color w:val="000000"/>
          <w:sz w:val="22"/>
        </w:rPr>
        <w:t>(oo)    </w:t>
      </w:r>
      <w:r>
        <w:rPr>
          <w:rFonts w:ascii="Times New Roman;serif" w:hAnsi="Times New Roman;serif"/>
          <w:b/>
          <w:i/>
          <w:color w:val="000000"/>
          <w:sz w:val="22"/>
        </w:rPr>
        <w:t>Forward-Looking Statements.</w:t>
      </w:r>
      <w:r>
        <w:rPr>
          <w:color w:val="000000"/>
        </w:rPr>
        <w:t xml:space="preserve"> </w:t>
      </w:r>
      <w:r>
        <w:rPr>
          <w:rFonts w:ascii="Times New Roman;serif" w:hAnsi="Times New Roman;serif"/>
          <w:b w:val="false"/>
          <w:color w:val="000000"/>
          <w:sz w:val="22"/>
        </w:rPr>
        <w:t>Each financial or operational projection or other “forward-looking statement” (as defined by Section 27A 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was false or misleading.</w:t>
        <w:br/>
        <w:br/>
        <w:t>    </w:t>
      </w:r>
      <w:r>
        <w:rPr>
          <w:rFonts w:ascii="Times New Roman;serif" w:hAnsi="Times New Roman;serif"/>
          <w:b/>
          <w:color w:val="000000"/>
          <w:sz w:val="22"/>
        </w:rPr>
        <w:t>(pp)    </w:t>
      </w:r>
      <w:r>
        <w:rPr>
          <w:rFonts w:ascii="Times New Roman;serif" w:hAnsi="Times New Roman;serif"/>
          <w:b/>
          <w:i/>
          <w:color w:val="000000"/>
          <w:sz w:val="22"/>
        </w:rPr>
        <w:t>No Outstanding Loans or Other Extensions of Credit</w:t>
      </w:r>
      <w:r>
        <w:rPr>
          <w:rFonts w:ascii="Times New Roman;serif" w:hAnsi="Times New Roman;serif"/>
          <w:b w:val="false"/>
          <w:color w:val="000000"/>
          <w:sz w:val="22"/>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br/>
        <w:br/>
        <w:t>    </w:t>
      </w:r>
      <w:r>
        <w:rPr>
          <w:rFonts w:ascii="Times New Roman;serif" w:hAnsi="Times New Roman;serif"/>
          <w:b/>
          <w:color w:val="000000"/>
          <w:sz w:val="22"/>
        </w:rPr>
        <w:t>(qq)    </w:t>
      </w:r>
      <w:r>
        <w:rPr>
          <w:rFonts w:ascii="Times New Roman;serif" w:hAnsi="Times New Roman;serif"/>
          <w:b/>
          <w:i/>
          <w:color w:val="000000"/>
          <w:sz w:val="22"/>
        </w:rPr>
        <w:t>Cybersecurity</w:t>
      </w:r>
      <w:r>
        <w:rPr>
          <w:rFonts w:ascii="Times New Roman;serif" w:hAnsi="Times New Roman;serif"/>
          <w:b w:val="false"/>
          <w:color w:val="000000"/>
          <w:sz w:val="22"/>
        </w:rPr>
        <w:t>. Except as would not be expected, individually or in the aggregate, to result in a Material Adverse Change: (i) the Company and its subsidiaries’ information technology assets and equipment, computers, systems, networks, hardware, software, websites, applications, and databases (collectively, “</w:t>
      </w:r>
      <w:r>
        <w:rPr>
          <w:rFonts w:ascii="Times New Roman;serif" w:hAnsi="Times New Roman;serif"/>
          <w:b/>
          <w:color w:val="000000"/>
          <w:sz w:val="22"/>
        </w:rPr>
        <w:t>IT Systems</w:t>
      </w:r>
      <w:r>
        <w:rPr>
          <w:color w:val="000000"/>
        </w:rPr>
        <w:t>”</w:t>
      </w:r>
      <w:r>
        <w:rPr>
          <w:rFonts w:ascii="Times New Roman;serif" w:hAnsi="Times New Roman;serif"/>
          <w:b w:val="false"/>
          <w:color w:val="000000"/>
          <w:sz w:val="22"/>
        </w:rPr>
        <w:t>) are adequate for, and operate and perform in all respects as required in connection with the operation of the business of the Company and its subsidiaries as currently conducted, and are free and clear of all vulnerabilities, bugs, errors, defects, Trojan horses, time bombs, malware and other corruptants; (ii) the Company and its subsidiaries have implemented and maintained commercially reasonable and appropriate physical, technical and administrative controls, policies, procedures, and safeguards to maintain and protect the confidentiality, integrity, availability, privacy and security of Personal Data (defined below) and sensitive, confidential or regulated data of the Company or processed by the Company on behalf of third parties (collectively, “</w:t>
      </w:r>
      <w:r>
        <w:rPr>
          <w:rFonts w:ascii="Times New Roman;serif" w:hAnsi="Times New Roman;serif"/>
          <w:b/>
          <w:color w:val="000000"/>
          <w:sz w:val="22"/>
        </w:rPr>
        <w:t>Confidential Data</w:t>
      </w:r>
      <w:r>
        <w:rPr>
          <w:color w:val="000000"/>
        </w:rPr>
        <w:t xml:space="preserve">” </w:t>
      </w:r>
      <w:r>
        <w:rPr>
          <w:rFonts w:ascii="Times New Roman;serif" w:hAnsi="Times New Roman;serif"/>
          <w:b w:val="false"/>
          <w:color w:val="000000"/>
          <w:sz w:val="22"/>
        </w:rPr>
        <w:t>(which, for clarity, includes Personal Data)) used or maintained in connection with their businesses as well as the integrity, availability, continuous operation, redundancy and security of all IT Systems. “</w:t>
      </w:r>
      <w:r>
        <w:rPr>
          <w:rFonts w:ascii="Times New Roman;serif" w:hAnsi="Times New Roman;serif"/>
          <w:b/>
          <w:color w:val="000000"/>
          <w:sz w:val="22"/>
        </w:rPr>
        <w:t>Personal Data</w:t>
      </w:r>
      <w:r>
        <w:rPr>
          <w:color w:val="000000"/>
        </w:rPr>
        <w:t xml:space="preserve">” </w:t>
      </w:r>
      <w:r>
        <w:rPr>
          <w:rFonts w:ascii="Times New Roman;serif" w:hAnsi="Times New Roman;serif"/>
          <w:b w:val="false"/>
          <w:color w:val="000000"/>
          <w:sz w:val="22"/>
        </w:rPr>
        <w:t xml:space="preserve">means (i) a natural person’s name, street address, telephone number, e-mail address, passwords, photograph, social security number or tax identification number, driver’s license number, passport number, credit card number, bank information, or customer or account number; (ii) information that identifies, relates to, or may reasonably be used to identify an individual, household or device; (iii) any information which would constitute </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42925"/>
                <wp:effectExtent l="0" t="0" r="0" b="0"/>
                <wp:wrapNone/>
                <wp:docPr id="19" name="Frame1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color w:val="000000"/>
        </w:rPr>
        <w:t>“</w:t>
      </w:r>
      <w:r>
        <w:rPr>
          <w:rFonts w:ascii="Times New Roman;serif" w:hAnsi="Times New Roman;serif"/>
          <w:b w:val="false"/>
          <w:color w:val="000000"/>
          <w:sz w:val="22"/>
        </w:rPr>
        <w:t>protected health information” under the Health Insurance Portability and Accountability Act of 1996, as amended by the Health Information Technology for Economic and Clinical Health Act (collectively, “</w:t>
      </w:r>
      <w:r>
        <w:rPr>
          <w:rFonts w:ascii="Times New Roman;serif" w:hAnsi="Times New Roman;serif"/>
          <w:b/>
          <w:color w:val="000000"/>
          <w:sz w:val="22"/>
        </w:rPr>
        <w:t>HIPAA</w:t>
      </w:r>
      <w:r>
        <w:rPr>
          <w:color w:val="000000"/>
        </w:rPr>
        <w:t>”</w:t>
      </w:r>
      <w:r>
        <w:rPr>
          <w:rFonts w:ascii="Times New Roman;serif" w:hAnsi="Times New Roman;serif"/>
          <w:b w:val="false"/>
          <w:color w:val="000000"/>
          <w:sz w:val="22"/>
        </w:rPr>
        <w:t>); and (iv) any information which would constitute “personal data,” “personal information” (or similar term) under applicable laws. Except as would not be expected, individually or in the aggregate, to result in a Material Adverse Change, since the Merger Date, and to the Company’s knowledge, prior to the Merger Date, there have been no violations, outages, breaches of, uses of or accesses to or other compromises of the IT Systems or Confidential Data.</w:t>
        <w:br/>
        <w:br/>
        <w:t>    </w:t>
      </w:r>
      <w:r>
        <w:rPr>
          <w:rFonts w:ascii="Times New Roman;serif" w:hAnsi="Times New Roman;serif"/>
          <w:b/>
          <w:color w:val="000000"/>
          <w:sz w:val="22"/>
        </w:rPr>
        <w:t>(rr)    </w:t>
      </w:r>
      <w:r>
        <w:rPr>
          <w:rFonts w:ascii="Times New Roman;serif" w:hAnsi="Times New Roman;serif"/>
          <w:b/>
          <w:i/>
          <w:color w:val="000000"/>
          <w:sz w:val="22"/>
        </w:rPr>
        <w:t>Compliance with Data Privacy Laws and other Data Obligations</w:t>
      </w:r>
      <w:r>
        <w:rPr>
          <w:rFonts w:ascii="Times New Roman;serif" w:hAnsi="Times New Roman;serif"/>
          <w:b w:val="false"/>
          <w:color w:val="000000"/>
          <w:sz w:val="22"/>
        </w:rPr>
        <w:t>. Except as would not be expected, individually or in the aggregate, to result in a Material Adverse Change, the Company and its subsidiaries are, and at all times since the Merger Date have been, and to the Company’s knowledge, at all times prior to the Merger Date, in compliance with all applicable laws, regulations, judgments, orders, rules and contractual obligations regarding (i) the collection, use, storage, retention, disclosure, transfer, disposal, or any other processing (collectively “</w:t>
      </w:r>
      <w:r>
        <w:rPr>
          <w:rFonts w:ascii="Times New Roman;serif" w:hAnsi="Times New Roman;serif"/>
          <w:b/>
          <w:color w:val="000000"/>
          <w:sz w:val="22"/>
        </w:rPr>
        <w:t>Process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Processing</w:t>
      </w:r>
      <w:r>
        <w:rPr>
          <w:color w:val="000000"/>
        </w:rPr>
        <w:t>”</w:t>
      </w:r>
      <w:r>
        <w:rPr>
          <w:rFonts w:ascii="Times New Roman;serif" w:hAnsi="Times New Roman;serif"/>
          <w:b w:val="false"/>
          <w:color w:val="000000"/>
          <w:sz w:val="22"/>
        </w:rPr>
        <w:t>) of Personal Data, including, to the extent applicable, HIPAA, the California Consumer Privacy Act (“</w:t>
      </w:r>
      <w:r>
        <w:rPr>
          <w:rFonts w:ascii="Times New Roman;serif" w:hAnsi="Times New Roman;serif"/>
          <w:b/>
          <w:color w:val="000000"/>
          <w:sz w:val="22"/>
        </w:rPr>
        <w:t>CCPA</w:t>
      </w:r>
      <w:r>
        <w:rPr>
          <w:color w:val="000000"/>
        </w:rPr>
        <w:t>”</w:t>
      </w:r>
      <w:r>
        <w:rPr>
          <w:rFonts w:ascii="Times New Roman;serif" w:hAnsi="Times New Roman;serif"/>
          <w:b w:val="false"/>
          <w:color w:val="000000"/>
          <w:sz w:val="22"/>
        </w:rPr>
        <w:t>) and any other state laws regarding Personal Data, the European Union General Data Protection Regulation (“</w:t>
      </w:r>
      <w:r>
        <w:rPr>
          <w:rFonts w:ascii="Times New Roman;serif" w:hAnsi="Times New Roman;serif"/>
          <w:b/>
          <w:color w:val="000000"/>
          <w:sz w:val="22"/>
        </w:rPr>
        <w:t>GDPR</w:t>
      </w:r>
      <w:r>
        <w:rPr>
          <w:color w:val="000000"/>
        </w:rPr>
        <w:t>”</w:t>
      </w:r>
      <w:r>
        <w:rPr>
          <w:rFonts w:ascii="Times New Roman;serif" w:hAnsi="Times New Roman;serif"/>
          <w:b w:val="false"/>
          <w:color w:val="000000"/>
          <w:sz w:val="22"/>
        </w:rPr>
        <w:t>) (EU 2016/679), and the UK GDPR (collectively, the “</w:t>
      </w:r>
      <w:r>
        <w:rPr>
          <w:rFonts w:ascii="Times New Roman;serif" w:hAnsi="Times New Roman;serif"/>
          <w:b/>
          <w:color w:val="000000"/>
          <w:sz w:val="22"/>
        </w:rPr>
        <w:t>Privacy Laws</w:t>
      </w:r>
      <w:r>
        <w:rPr>
          <w:color w:val="000000"/>
        </w:rPr>
        <w:t>”</w:t>
      </w:r>
      <w:r>
        <w:rPr>
          <w:rFonts w:ascii="Times New Roman;serif" w:hAnsi="Times New Roman;serif"/>
          <w:b w:val="false"/>
          <w:color w:val="000000"/>
          <w:sz w:val="22"/>
        </w:rPr>
        <w:t>); (ii) the privacy, availability, integrity or security of Confidential Data; or (iii) the privacy, availability, integrity or security of the IT Systems. Except as would not be expected, individually or in the aggregate, to result in a Material Adverse Change: (i) the Company and its subsidiaries have, at all times since the Merger Date and, to the Company’s knowledge, at all times prior to the Merger Date, in place and comply with their written policies, procedures, statements and representations relating to data privacy and security, and the Processing of Confidential Data (the “</w:t>
      </w:r>
      <w:r>
        <w:rPr>
          <w:rFonts w:ascii="Times New Roman;serif" w:hAnsi="Times New Roman;serif"/>
          <w:b/>
          <w:color w:val="000000"/>
          <w:sz w:val="22"/>
        </w:rPr>
        <w:t>Privacy Statements</w:t>
      </w:r>
      <w:r>
        <w:rPr>
          <w:color w:val="000000"/>
        </w:rPr>
        <w:t>”</w:t>
      </w:r>
      <w:r>
        <w:rPr>
          <w:rFonts w:ascii="Times New Roman;serif" w:hAnsi="Times New Roman;serif"/>
          <w:b w:val="false"/>
          <w:color w:val="000000"/>
          <w:sz w:val="22"/>
        </w:rPr>
        <w:t>); (ii) at all times since the Merger Date, and to the Company’s knowledge, at all times prior to the Merger Date, the Company and its subsidiaries have made available its Privacy Statements then in effect to all individuals as required by Privacy Laws; (iii) each of the Privacy Statements provided accurate, complete and sufficient notice of the Company’s and its subsidiaries’ then-applicable privacy practices and Processing relating to its subject matter and such Policies do not contain any misrepresentations or omissions; and (iv) neither the Company nor any subsidiary: (a) has since the Merger Date and, to the Company’s knowledge, prior to the Merger Date, received written notice of any actual or potential claim, complaint, proceeding, or regulatory proceeding under or relating to, or actual or potential violation of, any of the Privacy Laws or contracts related to the Processing of Confidential Data; (b) is currently conducting or paying for, in whole or in part, any investigation, remediation, or other corrective action imposed by any Governmental Entity pursuant to any Privacy Law or contract; or (c) is a party to any order, decree, or agreement that imposes any obligation or liability by any Governmental Entity under any Privacy Law. The Company and its subsidiaries (Y) are not a “covered person”; and (Z) except for transactions conducted in compliance with, as applicable, the U.S. Data Security Program, have not provided “access” to any “bulk U.S. sensitive personal data” or “government-related data” to any “covered person” or “country of concern” (in each case, (Y) and (Z) as such terms are defined by the final rule promulgated by the U.S. Department of Justice titled “Access to U.S. Sensitive Personal Data and Government-Related Data by Countries of Concern or Covered Persons,” 90 Fed. Reg. 1636 (Jan. 8, 2025) codified at 28 C.F.R. Part 202, including any amendments thereto and guidance issued thereunder (together, the “</w:t>
      </w:r>
      <w:r>
        <w:rPr>
          <w:rFonts w:ascii="Times New Roman;serif" w:hAnsi="Times New Roman;serif"/>
          <w:b/>
          <w:color w:val="000000"/>
          <w:sz w:val="22"/>
        </w:rPr>
        <w:t>U.S. Data Security Program</w:t>
      </w:r>
      <w:r>
        <w:rPr>
          <w:color w:val="000000"/>
        </w:rPr>
        <w:t>”</w:t>
      </w:r>
      <w:r>
        <w:rPr>
          <w:rFonts w:ascii="Times New Roman;serif" w:hAnsi="Times New Roman;serif"/>
          <w:b w:val="false"/>
          <w:color w:val="000000"/>
          <w:sz w:val="22"/>
        </w:rPr>
        <w:t>).</w:t>
        <w:br/>
        <w:br/>
        <w:t>    </w:t>
      </w:r>
      <w:r>
        <w:rPr>
          <w:rFonts w:ascii="Times New Roman;serif" w:hAnsi="Times New Roman;serif"/>
          <w:b/>
          <w:color w:val="000000"/>
          <w:sz w:val="22"/>
        </w:rPr>
        <w:t>(ss)    </w:t>
      </w:r>
      <w:r>
        <w:rPr>
          <w:rFonts w:ascii="Times New Roman;serif" w:hAnsi="Times New Roman;serif"/>
          <w:b/>
          <w:i/>
          <w:color w:val="000000"/>
          <w:sz w:val="22"/>
        </w:rPr>
        <w:t>Communications</w:t>
      </w:r>
      <w:r>
        <w:rPr>
          <w:rFonts w:ascii="Times New Roman;serif" w:hAnsi="Times New Roman;serif"/>
          <w:b w:val="false"/>
          <w:color w:val="000000"/>
          <w:sz w:val="22"/>
        </w:rPr>
        <w:t xml:space="preserve">. The Company (i) has not alone engaged in communications with potential investors in reliance on Section 5(d) of the Securities Act or Rule 163B under the Securities Act other than Permitted Testing-the-Waters Communication with the consent of the Representatives with entities that are QIBs or IAIs or those reasonably believed to be QIBs or IAIs and (ii) has not authorized </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42925"/>
                <wp:effectExtent l="0" t="0" r="0" b="0"/>
                <wp:wrapNone/>
                <wp:docPr id="20" name="Frame2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anyone other than the Representatives to engage in such communications or to conduct any Road Show; the Company reconfirms that the Representatives have been authorized to act on its behalf in undertaking Marketing Materials, conducting any Road Show, or in making Oral Testing-the-Waters Communications and Written Testing-the-Waters Communications; as of the Applicable Time, each Permitted Testing-the-Waters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Testing-the-Waters Communication, if any, does not, as of the date hereof, conflict with the information contained in the Registration Statement, the Preliminary Prospectus and the Prospectus (except where such Permitted Testing-the-Waters Communication has been superseded by information contained in the Registration Statement, the Preliminary Prospectus and the Prospectus).</w:t>
        <w:br/>
        <w:br/>
        <w:t>    </w:t>
      </w:r>
      <w:r>
        <w:rPr>
          <w:rFonts w:ascii="Times New Roman;serif" w:hAnsi="Times New Roman;serif"/>
          <w:b/>
          <w:color w:val="000000"/>
          <w:sz w:val="22"/>
        </w:rPr>
        <w:t>(tt)    </w:t>
      </w:r>
      <w:r>
        <w:rPr>
          <w:rFonts w:ascii="Times New Roman;serif" w:hAnsi="Times New Roman;serif"/>
          <w:b/>
          <w:i/>
          <w:color w:val="000000"/>
          <w:sz w:val="22"/>
        </w:rPr>
        <w:t>Clinical Data and Regulatory Compliance.</w:t>
      </w:r>
      <w:r>
        <w:rPr>
          <w:color w:val="000000"/>
        </w:rPr>
        <w:t xml:space="preserve"> </w:t>
      </w:r>
      <w:r>
        <w:rPr>
          <w:rFonts w:ascii="Times New Roman;serif" w:hAnsi="Times New Roman;serif"/>
          <w:b w:val="false"/>
          <w:color w:val="000000"/>
          <w:sz w:val="22"/>
        </w:rPr>
        <w:t>The preclinical tests and clinical trials, and other studies (collectively, “</w:t>
      </w:r>
      <w:r>
        <w:rPr>
          <w:rFonts w:ascii="Times New Roman;serif" w:hAnsi="Times New Roman;serif"/>
          <w:b/>
          <w:color w:val="000000"/>
          <w:sz w:val="22"/>
        </w:rPr>
        <w:t>studies</w:t>
      </w:r>
      <w:r>
        <w:rPr>
          <w:color w:val="000000"/>
        </w:rPr>
        <w:t>”</w:t>
      </w:r>
      <w:r>
        <w:rPr>
          <w:rFonts w:ascii="Times New Roman;serif" w:hAnsi="Times New Roman;serif"/>
          <w:b w:val="false"/>
          <w:color w:val="000000"/>
          <w:sz w:val="22"/>
        </w:rPr>
        <w:t>) sponsored or conducted by the Company and its subsidiaries, that are described in, or the results of which are referred to in, the Registration Statement, the Time of Sale Prospectus or the Prospectus were and, if still pending, are being conducted in all material respects in accordance with all applicable Health Care Laws; each description of the results of such studies is accurate in all material respects and the Company and its subsidiaries have no knowledge of any other studies the results of which are inconsistent with, or otherwise call into question in any material respect, the results described or referred to in the Registration Statement, the Time of Sale Prospectus or the Prospectus; the Company and its subsidiaries have made all such material filings and obtained all such approvals as may be required by the Food and Drug Administration of the U.S. Department of Health and Human Services or any committee thereof or from any comparable U.S. or foreign drug regulatory agency, or health care facility Institutional Review Board (collectively, the “</w:t>
      </w:r>
      <w:r>
        <w:rPr>
          <w:rFonts w:ascii="Times New Roman;serif" w:hAnsi="Times New Roman;serif"/>
          <w:b/>
          <w:color w:val="000000"/>
          <w:sz w:val="22"/>
        </w:rPr>
        <w:t>Regulatory Agencies</w:t>
      </w:r>
      <w:r>
        <w:rPr>
          <w:color w:val="000000"/>
        </w:rPr>
        <w:t>”</w:t>
      </w:r>
      <w:r>
        <w:rPr>
          <w:rFonts w:ascii="Times New Roman;serif" w:hAnsi="Times New Roman;serif"/>
          <w:b w:val="false"/>
          <w:color w:val="000000"/>
          <w:sz w:val="22"/>
        </w:rPr>
        <w:t>) for the conduct of such studies; neither the Company nor any of its subsidiaries has received any written notice of, or written correspondence from, any Regulatory Agency requiring the termination or suspension of any ongoing or proposed studies.</w:t>
        <w:br/>
        <w:br/>
        <w:t>    </w:t>
      </w:r>
      <w:r>
        <w:rPr>
          <w:rFonts w:ascii="Times New Roman;serif" w:hAnsi="Times New Roman;serif"/>
          <w:b/>
          <w:color w:val="000000"/>
          <w:sz w:val="22"/>
        </w:rPr>
        <w:t>(uu)    </w:t>
      </w:r>
      <w:r>
        <w:rPr>
          <w:rFonts w:ascii="Times New Roman;serif" w:hAnsi="Times New Roman;serif"/>
          <w:b/>
          <w:i/>
          <w:color w:val="000000"/>
          <w:sz w:val="22"/>
        </w:rPr>
        <w:t xml:space="preserve">Compliance with Health Care Laws. </w:t>
      </w:r>
      <w:r>
        <w:rPr>
          <w:rFonts w:ascii="Times New Roman;serif" w:hAnsi="Times New Roman;serif"/>
          <w:b w:val="false"/>
          <w:color w:val="000000"/>
          <w:sz w:val="22"/>
        </w:rPr>
        <w:t xml:space="preserve">The Company and its subsidiaries are, and at all times since the Merger Date, and to the Company’s knowledge, prior to the Merger Date, have been, in compliance with all applicable Health Care Laws, except where the failures to comply would not reasonably be expected, individually or in the aggregate, to result in a Material Adverse Change. For purposes of this Agreement, “Health Care Laws” means: (i) the Federal Food, Drug, and Cosmetic Act (21 U.S.C. Section 301 et seq.), the Public Health Service Act (42 U.S.C. Section 262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HIPAA (42 U.S.C. Section 1320d et seq.), the civil monetary penalties law (42 U.S.C. Section 1320a-7a), the exclusion law (42 U.S.C. Section 1320a-7), the Physician Payments Sunshine Act (42 U.S.C. Section 1320-7h), and applicable laws governing government funded or sponsored healthcare programs; (iii) all other comparable local, state, federal, national, supranational and foreign laws, and (iv) the directives and regulations promulgated pursuant to such statutes and any state or non-U.S. counterpart thereof. Since the Merger Date, and to the Company’s knowledge, prior to the Merger Date,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42925"/>
                <wp:effectExtent l="0" t="0" r="0" b="0"/>
                <wp:wrapNone/>
                <wp:docPr id="21" name="Frame2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Laws, which if resolved adversely to the Company or its subsidiaries, would reasonably be expected to result in a Material Adverse Change nor, to the Company’s knowledge, is any such claim, action, suit, proceeding, hearing, enforcement, investigation, arbitration or other action threatened. Except as would not, whether individually or in the aggregate, reasonably be expected to result in a Material Adverse Change, since the Merger Date, and to the Company’s knowledge, prior to the Merger Date, the Company and its subsidiaries have filed, maintained or submitted all reports, documents, forms, notices, applications, records, claims, submissions and supplements or amendments as required by any applicable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since the Merger Date, and to the Company’s knowledge, prior to the Merger Date, none of the Company, any of its subsidiaries or any of their respective employees, officers, directors or, to the Company’s knowledge, agents has been or is currently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br/>
        <w:br/>
        <w:t>    </w:t>
      </w:r>
      <w:r>
        <w:rPr>
          <w:rFonts w:ascii="Times New Roman;serif" w:hAnsi="Times New Roman;serif"/>
          <w:b/>
          <w:color w:val="000000"/>
          <w:sz w:val="22"/>
        </w:rPr>
        <w:t>(vv)    </w:t>
      </w:r>
      <w:r>
        <w:rPr>
          <w:rFonts w:ascii="Times New Roman;serif" w:hAnsi="Times New Roman;serif"/>
          <w:b/>
          <w:i/>
          <w:color w:val="000000"/>
          <w:sz w:val="22"/>
        </w:rPr>
        <w:t>No Contract Terminations.</w:t>
      </w:r>
      <w:r>
        <w:rPr>
          <w:color w:val="000000"/>
        </w:rPr>
        <w:t xml:space="preserve"> </w:t>
      </w:r>
      <w:r>
        <w:rPr>
          <w:rFonts w:ascii="Times New Roman;serif" w:hAnsi="Times New Roman;serif"/>
          <w:b w:val="false"/>
          <w:color w:val="000000"/>
          <w:sz w:val="22"/>
        </w:rPr>
        <w:t>Neither the Company nor any of its subsidiaries has sent or received any communication regarding termination of, or intent not to renew, any of the contracts or agreements referred to or described in any preliminary prospectus or the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br/>
        <w:br/>
        <w:t>    </w:t>
      </w:r>
      <w:r>
        <w:rPr>
          <w:rFonts w:ascii="Times New Roman;serif" w:hAnsi="Times New Roman;serif"/>
          <w:b/>
          <w:color w:val="000000"/>
          <w:sz w:val="22"/>
        </w:rPr>
        <w:t>(ww)    </w:t>
      </w:r>
      <w:r>
        <w:rPr>
          <w:rFonts w:ascii="Times New Roman;serif" w:hAnsi="Times New Roman;serif"/>
          <w:b/>
          <w:i/>
          <w:color w:val="000000"/>
          <w:sz w:val="22"/>
        </w:rPr>
        <w:t>Dividend Restrictions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br/>
        <w:br/>
        <w:t>    </w:t>
      </w:r>
      <w:r>
        <w:rPr>
          <w:rFonts w:ascii="Times New Roman;serif" w:hAnsi="Times New Roman;serif"/>
          <w:b/>
          <w:color w:val="000000"/>
          <w:sz w:val="22"/>
        </w:rPr>
        <w:t>(xx)    </w:t>
      </w:r>
      <w:r>
        <w:rPr>
          <w:rFonts w:ascii="Times New Roman;serif" w:hAnsi="Times New Roman;serif"/>
          <w:b/>
          <w:i/>
          <w:color w:val="000000"/>
          <w:sz w:val="22"/>
        </w:rPr>
        <w:t>Outbound Investment Security Program</w:t>
      </w:r>
      <w:r>
        <w:rPr>
          <w:rFonts w:ascii="Times New Roman;serif" w:hAnsi="Times New Roman;serif"/>
          <w:b w:val="false"/>
          <w:color w:val="000000"/>
          <w:sz w:val="22"/>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serif" w:hAnsi="Times New Roman;serif"/>
          <w:b/>
          <w:color w:val="000000"/>
          <w:sz w:val="22"/>
        </w:rPr>
        <w:t>Covered Activity</w:t>
      </w:r>
      <w:r>
        <w:rPr>
          <w:color w:val="000000"/>
        </w:rPr>
        <w:t>”</w:t>
      </w:r>
      <w:r>
        <w:rPr>
          <w:rFonts w:ascii="Times New Roman;serif" w:hAnsi="Times New Roman;serif"/>
          <w:b w:val="false"/>
          <w:color w:val="000000"/>
          <w:sz w:val="22"/>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 or plan to engage in any Covered Activity.</w:t>
        <w:br/>
        <w:br/>
        <w:t>    </w:t>
      </w:r>
      <w:r>
        <w:rPr>
          <w:rFonts w:ascii="Times New Roman;serif" w:hAnsi="Times New Roman;serif"/>
          <w:b/>
          <w:color w:val="000000"/>
          <w:sz w:val="22"/>
        </w:rPr>
        <w:t>(yy)    </w:t>
      </w:r>
      <w:r>
        <w:rPr>
          <w:rFonts w:ascii="Times New Roman;serif" w:hAnsi="Times New Roman;serif"/>
          <w:b/>
          <w:i/>
          <w:color w:val="000000"/>
          <w:sz w:val="22"/>
        </w:rPr>
        <w:t xml:space="preserve">Proper Form. </w:t>
      </w:r>
      <w:r>
        <w:rPr>
          <w:rFonts w:ascii="Times New Roman;serif" w:hAnsi="Times New Roman;serif"/>
          <w:b w:val="false"/>
          <w:color w:val="000000"/>
          <w:sz w:val="22"/>
        </w:rPr>
        <w:t xml:space="preserve">This Agreement is in proper form to be enforceable in the Cayman Islands in accordance with its terms; to ensure the legality, validity, enforceability or admissibility into evidence in the Cayman Islands of this Agreement it is not necessary that this Agreement be filed or recorded with any court or other authority in the Cayman Islands (other than court filings in the ordinary course of </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42925"/>
                <wp:effectExtent l="0" t="0" r="0" b="0"/>
                <wp:wrapNone/>
                <wp:docPr id="22" name="Frame2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proceedings) or that any stamp or similar tax in the Cayman Islands (other than court fees or similar documentary tax payable in the ordinary course of proceedings) be paid on or in respect of this Agreement or any other documents to be furnished hereunder or thereunder.</w:t>
        <w:br/>
        <w:br/>
        <w:t>    </w:t>
      </w:r>
      <w:r>
        <w:rPr>
          <w:rFonts w:ascii="Times New Roman;serif" w:hAnsi="Times New Roman;serif"/>
          <w:b/>
          <w:color w:val="000000"/>
          <w:sz w:val="22"/>
        </w:rPr>
        <w:t>(zz)    </w:t>
      </w:r>
      <w:r>
        <w:rPr>
          <w:rFonts w:ascii="Times New Roman;serif" w:hAnsi="Times New Roman;serif"/>
          <w:b/>
          <w:i/>
          <w:color w:val="000000"/>
          <w:sz w:val="22"/>
        </w:rPr>
        <w:t>No Immunity</w:t>
      </w:r>
      <w:r>
        <w:rPr>
          <w:rFonts w:ascii="Times New Roman;serif" w:hAnsi="Times New Roman;serif"/>
          <w:b w:val="false"/>
          <w:color w:val="000000"/>
          <w:sz w:val="22"/>
        </w:rPr>
        <w:t>. Neither the Company nor any of its subsidiaries has any right of immunity under New York or United States law or the law of the Cayman Islands, from any legal action, suit or proceeding, from the giving of any relief in any such legal action, suit or proceeding, from set-off or counterclaim, from the jurisdiction of any New York or United States federal court or court in the Cayman Islands,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subsidiaries may have or may hereafter become entitled to any such right of immunity in any such court in which proceedings may at any time be commenced, the Company and any such subsidiary waives or will waive such right to the extent permitted by law and has consented to such relief and enforcement as provided in Section 19 of this Agreement.</w:t>
        <w:br/>
        <w:br/>
        <w:t>    </w:t>
      </w:r>
      <w:r>
        <w:rPr>
          <w:rFonts w:ascii="Times New Roman;serif" w:hAnsi="Times New Roman;serif"/>
          <w:b/>
          <w:color w:val="000000"/>
          <w:sz w:val="22"/>
        </w:rPr>
        <w:t>(aaa)    </w:t>
      </w:r>
      <w:r>
        <w:rPr>
          <w:rFonts w:ascii="Times New Roman;serif" w:hAnsi="Times New Roman;serif"/>
          <w:b/>
          <w:i/>
          <w:color w:val="000000"/>
          <w:sz w:val="22"/>
        </w:rPr>
        <w:t>Valid Choice of Law</w:t>
      </w:r>
      <w:r>
        <w:rPr>
          <w:rFonts w:ascii="Times New Roman;serif" w:hAnsi="Times New Roman;serif"/>
          <w:b w:val="false"/>
          <w:color w:val="000000"/>
          <w:sz w:val="22"/>
        </w:rPr>
        <w:t>. The Company has the power to submit, and pursuant to Section 19 of this Agreement, has legally, validly, effectively and irrevocably submitted, to the personal jurisdiction of the Specified Courts (as defined below), and the Company has the power to designate, appoint and authorize, and pursuant to Section 19 of this Agreement, has legally, validly, effectively and irrevocably designated, appointed and authorized an agent for service of process in any action arising out of or relating to this Agreement in any Specified Court, and service of process effected on such authorized agent will be effective to confer valid personal jurisdiction over the Company as provided in Section 19 hereof.</w:t>
        <w:br/>
        <w:br/>
        <w:t>    </w:t>
      </w:r>
      <w:r>
        <w:rPr>
          <w:rFonts w:ascii="Times New Roman;serif" w:hAnsi="Times New Roman;serif"/>
          <w:b/>
          <w:color w:val="000000"/>
          <w:sz w:val="22"/>
        </w:rPr>
        <w:t>(bbb)    </w:t>
      </w:r>
      <w:r>
        <w:rPr>
          <w:rFonts w:ascii="Times New Roman;serif" w:hAnsi="Times New Roman;serif"/>
          <w:b/>
          <w:i/>
          <w:color w:val="000000"/>
          <w:sz w:val="22"/>
        </w:rPr>
        <w:t>Final Judgments.</w:t>
      </w:r>
      <w:r>
        <w:rPr>
          <w:color w:val="000000"/>
        </w:rPr>
        <w:t xml:space="preserve"> </w:t>
      </w:r>
      <w:r>
        <w:rPr>
          <w:rFonts w:ascii="Times New Roman;serif" w:hAnsi="Times New Roman;serif"/>
          <w:b w:val="false"/>
          <w:color w:val="000000"/>
          <w:sz w:val="22"/>
        </w:rPr>
        <w:t>Any final judgment for a fixed or readily calculable sum of money rendered by a Specified Court having jurisdiction under its own domestic laws in respect of any suit, action or proceeding against the Company based upon this Agreement and any instruments or agreements entered into for the consummation of the transactions contemplated herein would be enforceable against the Company without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penalty; and (E) was not obtained in a manner and is not of a kind the enforcement of which is contrary to natural justice or the public policy of the Cayman Islands.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Any certificate signed by any officer of the Company or any of its subsidiaries and delivered to any Underwriter or to counsel for the Underwriters in connection with the offering, or the purchase and sale, of the Offered Securities shall be deemed a representation and warranty by the Company to each Underwriter as to the matters covered thereby.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42925"/>
                <wp:effectExtent l="0" t="0" r="0" b="0"/>
                <wp:wrapNone/>
                <wp:docPr id="23" name="Frame2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2"/>
        </w:rPr>
        <w:t>Section 2.</w:t>
      </w:r>
      <w:r>
        <w:rPr>
          <w:rFonts w:ascii="Times New Roman;serif" w:hAnsi="Times New Roman;serif"/>
          <w:b/>
          <w:color w:val="000000"/>
          <w:sz w:val="22"/>
        </w:rPr>
        <w:t>Purchase, Sale and Delivery of the Offered Securities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color w:val="000000"/>
          <w:sz w:val="22"/>
        </w:rPr>
        <w:t>(a)</w:t>
      </w:r>
      <w:r>
        <w:rPr>
          <w:rFonts w:ascii="Times New Roman;serif" w:hAnsi="Times New Roman;serif"/>
          <w:b/>
          <w:i/>
          <w:color w:val="000000"/>
          <w:sz w:val="22"/>
        </w:rPr>
        <w:t>The Firm Securities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Upon the terms herein set forth, the Company agrees to issue and sell to the several Underwriters an aggregate of 8,094,793 Firm Shares and 525,897 Pre-Funded Warrants. On the basis of the representations, warranties and agreements herein contained, and upon the terms but subject to the conditions herein set forth, the Underwriters agree, severally and not jointly, to purchase from the Company the respective number of Firm Shares and Pre-Funded Warrants set forth opposite their names on </w:t>
      </w:r>
      <w:r>
        <w:rPr>
          <w:rFonts w:ascii="Times New Roman;serif" w:hAnsi="Times New Roman;serif"/>
          <w:b w:val="false"/>
          <w:color w:val="000000"/>
          <w:sz w:val="22"/>
          <w:u w:val="single"/>
        </w:rPr>
        <w:t>Schedule A</w:t>
      </w:r>
      <w:r>
        <w:rPr>
          <w:rFonts w:ascii="Times New Roman;serif" w:hAnsi="Times New Roman;serif"/>
          <w:b w:val="false"/>
          <w:color w:val="000000"/>
          <w:sz w:val="22"/>
        </w:rPr>
        <w:t>. The purchase price per Offered Share to be paid by the several Underwriters to the Company shall be $13.63 per share (the “</w:t>
      </w:r>
      <w:r>
        <w:rPr>
          <w:rFonts w:ascii="Times New Roman;serif" w:hAnsi="Times New Roman;serif"/>
          <w:b/>
          <w:color w:val="000000"/>
          <w:sz w:val="22"/>
        </w:rPr>
        <w:t>Share Purchase Price</w:t>
      </w:r>
      <w:r>
        <w:rPr>
          <w:color w:val="000000"/>
        </w:rPr>
        <w:t>”</w:t>
      </w:r>
      <w:r>
        <w:rPr>
          <w:rFonts w:ascii="Times New Roman;serif" w:hAnsi="Times New Roman;serif"/>
          <w:b w:val="false"/>
          <w:color w:val="000000"/>
          <w:sz w:val="22"/>
        </w:rPr>
        <w:t>) and the purchase price per Pre-Funded Warrant to be paid by the several Underwriters to the Company shall be $13.629 (the “</w:t>
      </w:r>
      <w:r>
        <w:rPr>
          <w:rFonts w:ascii="Times New Roman;serif" w:hAnsi="Times New Roman;serif"/>
          <w:b/>
          <w:color w:val="000000"/>
          <w:sz w:val="22"/>
        </w:rPr>
        <w:t>Warrant Purchase Price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color w:val="000000"/>
          <w:sz w:val="22"/>
        </w:rPr>
        <w:t>(b)</w:t>
      </w:r>
      <w:r>
        <w:rPr>
          <w:rFonts w:ascii="Times New Roman;serif" w:hAnsi="Times New Roman;serif"/>
          <w:b/>
          <w:i/>
          <w:color w:val="000000"/>
          <w:sz w:val="22"/>
        </w:rPr>
        <w:t>The First Closing Date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Delivery of the Firm Securities to be purchased by the Underwriters and payment therefor shall be made at the offices of Cooley LLP, 55 Hudson Yards, New York, NY 10001 (or such other place as may be agreed to by the Company and the Representatives) at 9:00 a.m. New York City time, on July 16, 2026, or such other time and date not later than 1:30 p.m. New York City time, on July 28, 2026 as the Representatives shall designate by notice to the Company (the time and date of such closing are called the “</w:t>
      </w:r>
      <w:r>
        <w:rPr>
          <w:rFonts w:ascii="Times New Roman;serif" w:hAnsi="Times New Roman;serif"/>
          <w:b/>
          <w:color w:val="000000"/>
          <w:sz w:val="22"/>
        </w:rPr>
        <w:t>First Closing Date</w:t>
      </w:r>
      <w:r>
        <w:rPr>
          <w:color w:val="000000"/>
        </w:rPr>
        <w:t>”</w:t>
      </w:r>
      <w:r>
        <w:rPr>
          <w:rFonts w:ascii="Times New Roman;serif" w:hAnsi="Times New Roman;serif"/>
          <w:b w:val="false"/>
          <w:color w:val="000000"/>
          <w:sz w:val="22"/>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pStyle w:val="TextBody"/>
        <w:bidi w:val="0"/>
        <w:spacing w:lineRule="auto" w:line="288" w:before="0" w:after="240"/>
        <w:ind w:left="0" w:right="0" w:firstLine="720"/>
        <w:jc w:val="left"/>
        <w:rPr/>
      </w:pPr>
      <w:r>
        <w:rPr>
          <w:rFonts w:ascii="Times New Roman;serif" w:hAnsi="Times New Roman;serif"/>
          <w:b/>
          <w:color w:val="000000"/>
          <w:sz w:val="22"/>
        </w:rPr>
        <w:t>(c)</w:t>
      </w:r>
      <w:r>
        <w:rPr>
          <w:rFonts w:ascii="Times New Roman;serif" w:hAnsi="Times New Roman;serif"/>
          <w:b/>
          <w:i/>
          <w:color w:val="000000"/>
          <w:sz w:val="22"/>
        </w:rPr>
        <w:t>The Optional Shares; Option Closing Date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In addition, on the basis of the representations, warranties and agreements herein contained, and upon the terms but subject to the conditions herein set forth, the Company hereby grants an option to the several Underwriters to purchase, severally and not jointly, up to an aggregate of 1,293,103 Optional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the Optional Shares will be delivered (which time and date may be simultaneous with, but not earlier than, the First Closing Date; and in the event that such time and date are simultaneous with the First Closing Date, the term “</w:t>
      </w:r>
      <w:r>
        <w:rPr>
          <w:rFonts w:ascii="Times New Roman;serif" w:hAnsi="Times New Roman;serif"/>
          <w:b/>
          <w:color w:val="000000"/>
          <w:sz w:val="22"/>
        </w:rPr>
        <w:t>First Closing Date</w:t>
      </w:r>
      <w:r>
        <w:rPr>
          <w:color w:val="000000"/>
        </w:rPr>
        <w:t xml:space="preserve">” </w:t>
      </w:r>
      <w:r>
        <w:rPr>
          <w:rFonts w:ascii="Times New Roman;serif" w:hAnsi="Times New Roman;serif"/>
          <w:b w:val="false"/>
          <w:color w:val="000000"/>
          <w:sz w:val="22"/>
        </w:rPr>
        <w:t>shall refer to the time and date of delivery of the Firm Securities and such Optional Shares). Any such time and date of delivery, if subsequent to the First Closing Date, is called an “</w:t>
      </w:r>
      <w:r>
        <w:rPr>
          <w:rFonts w:ascii="Times New Roman;serif" w:hAnsi="Times New Roman;serif"/>
          <w:b/>
          <w:color w:val="000000"/>
          <w:sz w:val="22"/>
        </w:rPr>
        <w:t>Option Closing Date</w:t>
      </w:r>
      <w:r>
        <w:rPr>
          <w:rFonts w:ascii="Times New Roman;serif" w:hAnsi="Times New Roman;serif"/>
          <w:b w:val="false"/>
          <w:color w:val="000000"/>
          <w:sz w:val="22"/>
        </w:rPr>
        <w:t xml:space="preserve">,” shall be determined by the Representatives and shall not be earlier than two or later than five full business days after delivery of such notice of exercise. If any Optional Shares are to be purchased, (a)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and Pre-Funded Warrants set forth on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opposite the name of such Underwriter bears to the total number of Firm Shares and (b) the Company agrees to sell the number of Optional Shares (subject to such adjustments to eliminate fractional shares as the Representatives may determine). The Representatives may cancel the option at any time prior to its expiration by giving written notice of such cancellation to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42925"/>
                <wp:effectExtent l="0" t="0" r="0" b="0"/>
                <wp:wrapNone/>
                <wp:docPr id="24" name="Frame2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2"/>
        </w:rPr>
        <w:t>(d)</w:t>
      </w:r>
      <w:r>
        <w:rPr>
          <w:rFonts w:ascii="Times New Roman;serif" w:hAnsi="Times New Roman;serif"/>
          <w:b/>
          <w:i/>
          <w:color w:val="000000"/>
          <w:sz w:val="22"/>
        </w:rPr>
        <w:t>Public Offering of the Offered Securities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Representatives hereby advise the Company that the Underwriters intend to offer for sale to the public, initially on the terms set forth in the Registration Statement, the Time of Sale Prospectus and the Prospectus, their respective portions of the Offered Securities as soon after this Agreement has been executed as the Representatives, in their sole judgment, have determined is advisable and practicable.</w:t>
      </w:r>
    </w:p>
    <w:p>
      <w:pPr>
        <w:pStyle w:val="TextBody"/>
        <w:bidi w:val="0"/>
        <w:spacing w:lineRule="auto" w:line="288" w:before="0" w:after="240"/>
        <w:ind w:left="0" w:right="0" w:firstLine="720"/>
        <w:jc w:val="left"/>
        <w:rPr/>
      </w:pPr>
      <w:r>
        <w:rPr>
          <w:rFonts w:ascii="Times New Roman;serif" w:hAnsi="Times New Roman;serif"/>
          <w:b/>
          <w:color w:val="000000"/>
          <w:sz w:val="22"/>
        </w:rPr>
        <w:t>(e)</w:t>
      </w:r>
      <w:r>
        <w:rPr>
          <w:rFonts w:ascii="Times New Roman;serif" w:hAnsi="Times New Roman;serif"/>
          <w:b/>
          <w:i/>
          <w:color w:val="000000"/>
          <w:sz w:val="22"/>
        </w:rPr>
        <w:t>Payment for the Offered Securities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 Payment for the Offered Securities to be sold by the Company shall be made at the First Closing Date (and, if applicable, at each Option Closing Date) by wire transfer of immediately available funds to the order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rPr>
        <w:t>It is understood that the Representatives have been authorized, for their own account and the accounts of the several Underwriters, to accept delivery of and receipt for, and make payment of the purchase price for, the Firm Securities and any Optional Shares the Underwriters have agreed to purchase. Each of Jefferies and TD Cowen, individually and not as the Representatives of the Underwriters, may (but shall not be obligated to) make payment for any Offered Securities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pStyle w:val="TextBody"/>
        <w:bidi w:val="0"/>
        <w:spacing w:lineRule="auto" w:line="288" w:before="0" w:after="240"/>
        <w:ind w:left="0" w:right="0" w:firstLine="720"/>
        <w:jc w:val="left"/>
        <w:rPr/>
      </w:pPr>
      <w:r>
        <w:rPr>
          <w:rFonts w:ascii="Times New Roman;serif" w:hAnsi="Times New Roman;serif"/>
          <w:b/>
          <w:color w:val="000000"/>
          <w:sz w:val="22"/>
        </w:rPr>
        <w:t>(f)</w:t>
      </w:r>
      <w:r>
        <w:rPr>
          <w:rFonts w:ascii="Times New Roman;serif" w:hAnsi="Times New Roman;serif"/>
          <w:b/>
          <w:i/>
          <w:color w:val="000000"/>
          <w:sz w:val="22"/>
        </w:rPr>
        <w:t>Delivery of the Offered Securities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shall (i) deliver, or cause to be delivered, through the facilities of The Depository Trust Company (“</w:t>
      </w:r>
      <w:r>
        <w:rPr>
          <w:rFonts w:ascii="Times New Roman;serif" w:hAnsi="Times New Roman;serif"/>
          <w:b/>
          <w:color w:val="000000"/>
          <w:sz w:val="22"/>
        </w:rPr>
        <w:t>DTC</w:t>
      </w:r>
      <w:r>
        <w:rPr>
          <w:color w:val="000000"/>
        </w:rPr>
        <w:t>”</w:t>
      </w:r>
      <w:r>
        <w:rPr>
          <w:rFonts w:ascii="Times New Roman;serif" w:hAnsi="Times New Roman;serif"/>
          <w:b w:val="false"/>
          <w:color w:val="000000"/>
          <w:sz w:val="22"/>
        </w:rPr>
        <w:t xml:space="preserve">), to the Representatives for the accounts of the several Underwriters the Firm Shares at the First Closing Date and (ii) deliver, or cause to be delivered to the purchaser(s) thereof the Pre-Funded Warrants at the First Closing Date in accordance with the Representatives’ instructions, in each case, against release of a wire transfer of immediately available funds for the amount of the purchase price therefor. The Company shall also deliver, or cause to be delivered to the Representatives for the accounts of the several Underwriters, the Optional Shares the Underwriters have agreed to purchase at the First Closing Date or the applicable Option Closing Date, as the case may be, against the release of a wire transfer of immediately available funds for the amount of the purchase price therefor. If Jefferies so elects, delivery of the Offered Shares may be made by credit to the accounts designated by Jefferies through DTC’s full fast transfer or DWAC programs. If Jefferies so elects, the Offered Shares shall be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provided, however, that if the Company, upon the instruction of the Representatives, registers the Pre-Funded Warrants in the name of any person or entity to whom any Underwriter intends to sell such Pre-Funded Warrants, then such Underwriter shall have the right to thereafter request the re-registration of such Pre-Funded Warrants (and the Company shall be required to re-register such Pre-Funded Warrants) in the name of any other person or entity (it being understood that such re-registration is intended to permit an Underwriter to resell such Pre-Funded Warrants in the event that the person or entity to whom such Underwriter originally intended to sell such Pre-Funded Warrants shall fail to pay the purchase price of such Pre-Funded Warrants). Time shall be of the essence, and delivery at the time and place specified in this Agreement is a further condition to the obligations of the Underwriters. Notwithstanding the foregoing, the Company and the Representatives shall instruct purchasers of the Pre-Funded Warrants to make payment for the Pre-Funded Warrants on the First Closing Date to the Company by wire transfer of immediately available funds to the account specified by the Company at a purchase price of $14.499 per Pre-Funded Warrant, in lieu of payment by the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42925"/>
                <wp:effectExtent l="0" t="0" r="0" b="0"/>
                <wp:wrapNone/>
                <wp:docPr id="25" name="Frame2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Underwriters for such Pre-Funded Warrants, and the Company shall deliver the Pre-Funded Warrants to such purchasers on the First Closing Date in definitive form against such payment, in lieu of the Company’s obligation to deliver the Pre-Funded Warrants to the Representatives; provided that, the Underwriters shall withhold $0.87 per Pre-Funded Warrant with respect to such Pre-Funded Warrants as an offset effected by the Company of its claim for payment by the Underwriters to the Company for the Firm Shares and Optional Shares (only to the extent the Underwriters’ option under Section 2(c) hereof is exercised concurrently to close on the First Closing Date) against the Company’s obligation to pay the amount so withheld with respect to such Pre-Funded Warrants to the Underwriters. In the event that any purchaser of the Pre-Funded Warrants fails to make payment to the Company for all or part of the Pre-Funded Warrants on the First Closing Date, the Representatives shall either (i) make payment to the Company for such Pre-Funded Warrants at the Warrant Purchase Price or (ii) elect, by written notice to the Company, to receive Shares at the Share Purchase Price in lieu of all or a portion of such Pre-Funded Warrants contemplated to be sold under this Agreement.</w:t>
      </w:r>
    </w:p>
    <w:p>
      <w:pPr>
        <w:pStyle w:val="TextBody"/>
        <w:bidi w:val="0"/>
        <w:spacing w:lineRule="auto" w:line="288" w:before="0" w:after="240"/>
        <w:ind w:left="0" w:right="0" w:firstLine="1440"/>
        <w:jc w:val="left"/>
        <w:rPr/>
      </w:pPr>
      <w:r>
        <w:rPr>
          <w:rFonts w:ascii="Times New Roman;serif" w:hAnsi="Times New Roman;serif"/>
          <w:b/>
          <w:color w:val="000000"/>
          <w:sz w:val="22"/>
        </w:rPr>
        <w:t>Section 3.</w:t>
      </w:r>
      <w:r>
        <w:rPr>
          <w:rFonts w:ascii="Times New Roman;serif" w:hAnsi="Times New Roman;serif"/>
          <w:b/>
          <w:color w:val="000000"/>
          <w:sz w:val="22"/>
        </w:rPr>
        <w:t xml:space="preserve">Additional Covenants of the Company. </w:t>
      </w:r>
      <w:r>
        <w:rPr>
          <w:rFonts w:ascii="Times New Roman;serif" w:hAnsi="Times New Roman;serif"/>
          <w:b w:val="false"/>
          <w:color w:val="000000"/>
          <w:sz w:val="22"/>
        </w:rPr>
        <w:t xml:space="preserve">The Company further covenants and agrees with each Underwriter as follows: </w:t>
      </w:r>
    </w:p>
    <w:p>
      <w:pPr>
        <w:pStyle w:val="TextBody"/>
        <w:bidi w:val="0"/>
        <w:spacing w:lineRule="auto" w:line="288" w:before="0" w:after="240"/>
        <w:ind w:left="0" w:right="0" w:firstLine="720"/>
        <w:jc w:val="left"/>
        <w:rPr/>
      </w:pPr>
      <w:r>
        <w:rPr>
          <w:rFonts w:ascii="Times New Roman;serif" w:hAnsi="Times New Roman;serif"/>
          <w:b/>
          <w:color w:val="000000"/>
          <w:sz w:val="22"/>
        </w:rPr>
        <w:t>(a)</w:t>
      </w:r>
      <w:r>
        <w:rPr>
          <w:rFonts w:ascii="Times New Roman;serif" w:hAnsi="Times New Roman;serif"/>
          <w:b/>
          <w:i/>
          <w:color w:val="000000"/>
          <w:sz w:val="22"/>
        </w:rPr>
        <w:t>Delivery of Registration Statement, Time of Sale Prospectus and Prospectus.</w:t>
      </w:r>
      <w:r>
        <w:rPr>
          <w:color w:val="000000"/>
        </w:rPr>
        <w:t xml:space="preserve"> </w:t>
      </w:r>
      <w:r>
        <w:rPr>
          <w:rFonts w:ascii="Times New Roman;serif" w:hAnsi="Times New Roman;serif"/>
          <w:b w:val="false"/>
          <w:color w:val="000000"/>
          <w:sz w:val="22"/>
        </w:rPr>
        <w:t>The Company shall furnish, upon request, to the Representatives in New York City, without charge, prior to 10:00 a.m. New York City time on the business day next following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the Representatives may reasonably request.</w:t>
      </w:r>
    </w:p>
    <w:p>
      <w:pPr>
        <w:pStyle w:val="TextBody"/>
        <w:bidi w:val="0"/>
        <w:spacing w:lineRule="auto" w:line="288" w:before="0" w:after="240"/>
        <w:ind w:left="0" w:right="0" w:firstLine="720"/>
        <w:jc w:val="left"/>
        <w:rPr/>
      </w:pPr>
      <w:r>
        <w:rPr>
          <w:rFonts w:ascii="Times New Roman;serif" w:hAnsi="Times New Roman;serif"/>
          <w:b/>
          <w:color w:val="000000"/>
          <w:sz w:val="22"/>
        </w:rPr>
        <w:t>(b)</w:t>
      </w:r>
      <w:r>
        <w:rPr>
          <w:rFonts w:ascii="Times New Roman;serif" w:hAnsi="Times New Roman;serif"/>
          <w:b/>
          <w:i/>
          <w:color w:val="000000"/>
          <w:sz w:val="22"/>
        </w:rPr>
        <w:t>Representatives’ Review of Proposed Amendments and Supplements.</w:t>
      </w:r>
      <w:r>
        <w:rPr>
          <w:color w:val="000000"/>
        </w:rPr>
        <w:t xml:space="preserve"> </w:t>
      </w:r>
      <w:r>
        <w:rPr>
          <w:rFonts w:ascii="Times New Roman;serif" w:hAnsi="Times New Roman;serif"/>
          <w:b w:val="false"/>
          <w:color w:val="000000"/>
          <w:sz w:val="22"/>
        </w:rPr>
        <w:t>During the period when a prospectus relating to the Offered Securities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which consent shall not be unreasonably withheld, conditioned or delayed. Prior to amending or supplementing the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conditioned or delayed. The Company shall file with the Commission within the applicable period specified in Rule 424(b) under the Securities Act any prospectus required to be filed pursuant to such Rule.</w:t>
      </w:r>
    </w:p>
    <w:p>
      <w:pPr>
        <w:pStyle w:val="TextBody"/>
        <w:bidi w:val="0"/>
        <w:spacing w:lineRule="auto" w:line="288" w:before="0" w:after="240"/>
        <w:ind w:left="0" w:right="0" w:firstLine="720"/>
        <w:jc w:val="left"/>
        <w:rPr/>
      </w:pPr>
      <w:r>
        <w:rPr>
          <w:rFonts w:ascii="Times New Roman;serif" w:hAnsi="Times New Roman;serif"/>
          <w:b/>
          <w:color w:val="000000"/>
          <w:sz w:val="22"/>
        </w:rPr>
        <w:t>(c)</w:t>
      </w:r>
      <w:r>
        <w:rPr>
          <w:rFonts w:ascii="Times New Roman;serif" w:hAnsi="Times New Roman;serif"/>
          <w:b w:val="false"/>
          <w:color w:val="000000"/>
          <w:sz w:val="22"/>
        </w:rPr>
        <w:t>[</w:t>
      </w:r>
      <w:r>
        <w:rPr>
          <w:rFonts w:ascii="Times New Roman;serif" w:hAnsi="Times New Roman;serif"/>
          <w:b/>
          <w:i/>
          <w:color w:val="000000"/>
          <w:sz w:val="22"/>
        </w:rPr>
        <w:t>Reserved</w:t>
      </w:r>
      <w:r>
        <w:rPr>
          <w:rFonts w:ascii="Times New Roman;serif" w:hAnsi="Times New Roman;serif"/>
          <w:b/>
          <w:color w:val="000000"/>
          <w:sz w:val="22"/>
        </w:rPr>
        <w:t>.]</w:t>
      </w:r>
    </w:p>
    <w:p>
      <w:pPr>
        <w:pStyle w:val="TextBody"/>
        <w:bidi w:val="0"/>
        <w:spacing w:lineRule="auto" w:line="288" w:before="0" w:after="240"/>
        <w:ind w:left="0" w:right="0" w:firstLine="720"/>
        <w:jc w:val="left"/>
        <w:rPr/>
      </w:pPr>
      <w:r>
        <w:rPr>
          <w:rFonts w:ascii="Times New Roman;serif" w:hAnsi="Times New Roman;serif"/>
          <w:b/>
          <w:color w:val="000000"/>
          <w:sz w:val="22"/>
        </w:rPr>
        <w:t>(d)</w:t>
      </w:r>
      <w:r>
        <w:rPr>
          <w:rFonts w:ascii="Times New Roman;serif" w:hAnsi="Times New Roman;serif"/>
          <w:b/>
          <w:i/>
          <w:color w:val="000000"/>
          <w:sz w:val="22"/>
        </w:rPr>
        <w:t>Filing of Underwriter Free Writing Prospectuses.</w:t>
      </w:r>
      <w:r>
        <w:rPr>
          <w:color w:val="000000"/>
        </w:rPr>
        <w:t xml:space="preserve"> </w:t>
      </w:r>
      <w:r>
        <w:rPr>
          <w:rFonts w:ascii="Times New Roman;serif" w:hAnsi="Times New Roman;serif"/>
          <w:b w:val="false"/>
          <w:color w:val="000000"/>
          <w:sz w:val="22"/>
        </w:rPr>
        <w:t xml:space="preserve">The Company shall not take any action that would result in an Underwriter or the Company being required to file with the Commission pursuant to Rule 433(d) under the Securities Act a free writing prospectus (which has the meaning as set </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42925"/>
                <wp:effectExtent l="0" t="0" r="0" b="0"/>
                <wp:wrapNone/>
                <wp:docPr id="26" name="Frame2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forth in Rule 405 under the Securities Act) prepared by or on behalf of such Underwriter that such Underwriter otherwise would not have been required to file thereunder.</w:t>
      </w:r>
    </w:p>
    <w:p>
      <w:pPr>
        <w:pStyle w:val="TextBody"/>
        <w:bidi w:val="0"/>
        <w:spacing w:lineRule="auto" w:line="288" w:before="0" w:after="240"/>
        <w:ind w:left="0" w:right="0" w:firstLine="720"/>
        <w:jc w:val="left"/>
        <w:rPr/>
      </w:pPr>
      <w:r>
        <w:rPr>
          <w:rFonts w:ascii="Times New Roman;serif" w:hAnsi="Times New Roman;serif"/>
          <w:b/>
          <w:color w:val="000000"/>
          <w:sz w:val="22"/>
        </w:rPr>
        <w:t>(e)</w:t>
      </w:r>
      <w:r>
        <w:rPr>
          <w:rFonts w:ascii="Times New Roman;serif" w:hAnsi="Times New Roman;serif"/>
          <w:b/>
          <w:i/>
          <w:color w:val="000000"/>
          <w:sz w:val="22"/>
        </w:rPr>
        <w:t>Amendments and Supplements to Time of Sale Prospectus.</w:t>
      </w:r>
      <w:r>
        <w:rPr>
          <w:color w:val="000000"/>
        </w:rPr>
        <w:t xml:space="preserve"> </w:t>
      </w:r>
      <w:r>
        <w:rPr>
          <w:rFonts w:ascii="Times New Roman;serif" w:hAnsi="Times New Roman;serif"/>
          <w:b w:val="false"/>
          <w:color w:val="000000"/>
          <w:sz w:val="22"/>
        </w:rPr>
        <w:t>If the Time of Sale Prospectus is being used to solicit offers to buy the Offered 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pStyle w:val="TextBody"/>
        <w:bidi w:val="0"/>
        <w:spacing w:lineRule="auto" w:line="288" w:before="0" w:after="240"/>
        <w:ind w:left="0" w:right="0" w:firstLine="720"/>
        <w:jc w:val="left"/>
        <w:rPr/>
      </w:pPr>
      <w:r>
        <w:rPr>
          <w:rFonts w:ascii="Times New Roman;serif" w:hAnsi="Times New Roman;serif"/>
          <w:b/>
          <w:color w:val="000000"/>
          <w:sz w:val="22"/>
        </w:rPr>
        <w:t>(f)</w:t>
      </w:r>
      <w:r>
        <w:rPr>
          <w:rFonts w:ascii="Times New Roman;serif" w:hAnsi="Times New Roman;serif"/>
          <w:b/>
          <w:i/>
          <w:color w:val="000000"/>
          <w:sz w:val="22"/>
        </w:rPr>
        <w:t>Certain Notifications and Required Actions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After the date of this Agreement, the Company shall promptly advise the Representatives in writing (which may be by electronic mail) of: (i) the receipt of any comments of, or requests for additional or supplemental information from, the Commission; (ii) the time and date of any filing of any post-effective amendment to the Registration Statement or any amendment or supplement to the Base Prospectus, the Time of Sale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the Base Prospectus, the Time of Sale Prospectus or the Prospectus or of any order preventing or suspending the use of the Base Prospectus, the Time of Sale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pStyle w:val="TextBody"/>
        <w:bidi w:val="0"/>
        <w:spacing w:lineRule="auto" w:line="288" w:before="0" w:after="240"/>
        <w:ind w:left="0" w:right="0" w:firstLine="720"/>
        <w:jc w:val="left"/>
        <w:rPr/>
      </w:pPr>
      <w:r>
        <w:rPr>
          <w:rFonts w:ascii="Times New Roman;serif" w:hAnsi="Times New Roman;serif"/>
          <w:b/>
          <w:color w:val="000000"/>
          <w:sz w:val="22"/>
        </w:rPr>
        <w:t>(g)</w:t>
      </w:r>
      <w:r>
        <w:rPr>
          <w:rFonts w:ascii="Times New Roman;serif" w:hAnsi="Times New Roman;serif"/>
          <w:b/>
          <w:i/>
          <w:color w:val="000000"/>
          <w:sz w:val="22"/>
        </w:rPr>
        <w:t>Amendments and Supplements to the Prospectus and Other Securities Act Matters.</w:t>
      </w:r>
      <w:r>
        <w:rPr>
          <w:color w:val="000000"/>
        </w:rPr>
        <w:t xml:space="preserve"> </w:t>
      </w:r>
      <w:r>
        <w:rPr>
          <w:rFonts w:ascii="Times New Roman;serif" w:hAnsi="Times New Roman;serif"/>
          <w:b w:val="false"/>
          <w:color w:val="000000"/>
          <w:sz w:val="22"/>
        </w:rPr>
        <w:t xml:space="preserve">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42925"/>
                <wp:effectExtent l="0" t="0" r="0" b="0"/>
                <wp:wrapNone/>
                <wp:docPr id="27" name="Frame2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Underwriters it is otherwise necessary to amend or supplement the Prospectus to comply with applicable law, the Company agrees (subject to Section 3(b)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w:t>
      </w:r>
    </w:p>
    <w:p>
      <w:pPr>
        <w:pStyle w:val="TextBody"/>
        <w:bidi w:val="0"/>
        <w:spacing w:lineRule="auto" w:line="288" w:before="0" w:after="240"/>
        <w:ind w:left="0" w:right="0" w:firstLine="720"/>
        <w:jc w:val="left"/>
        <w:rPr/>
      </w:pPr>
      <w:r>
        <w:rPr>
          <w:rFonts w:ascii="Times New Roman;serif" w:hAnsi="Times New Roman;serif"/>
          <w:b/>
          <w:color w:val="000000"/>
          <w:sz w:val="22"/>
        </w:rPr>
        <w:t>(h)</w:t>
      </w:r>
      <w:r>
        <w:rPr>
          <w:rFonts w:ascii="Times New Roman;serif" w:hAnsi="Times New Roman;serif"/>
          <w:b/>
          <w:i/>
          <w:color w:val="000000"/>
          <w:sz w:val="22"/>
        </w:rPr>
        <w:t>Blue Sky Compliance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shall cooperate with the Representatives and counsel for the Underwriters to qualify or register the Offered Securities for sale under (or obtain exemptions from the application of) the state securities or blue sky laws or Canadian Provincial securities laws (or other foreign laws) of those jurisdictions as may be reasonably designated by the Representatives, shall use reasonable efforts to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reasonable best efforts to obtain the withdrawal thereof as soon as practicable.</w:t>
      </w:r>
    </w:p>
    <w:p>
      <w:pPr>
        <w:pStyle w:val="TextBody"/>
        <w:bidi w:val="0"/>
        <w:spacing w:lineRule="auto" w:line="288" w:before="0" w:after="240"/>
        <w:ind w:left="0" w:right="0" w:firstLine="720"/>
        <w:jc w:val="left"/>
        <w:rPr/>
      </w:pPr>
      <w:r>
        <w:rPr>
          <w:rFonts w:ascii="Times New Roman;serif" w:hAnsi="Times New Roman;serif"/>
          <w:b/>
          <w:color w:val="000000"/>
          <w:sz w:val="22"/>
        </w:rPr>
        <w:t>(i)</w:t>
      </w:r>
      <w:r>
        <w:rPr>
          <w:rFonts w:ascii="Times New Roman;serif" w:hAnsi="Times New Roman;serif"/>
          <w:b/>
          <w:i/>
          <w:color w:val="000000"/>
          <w:sz w:val="22"/>
        </w:rPr>
        <w:t>Use of Proceeds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shall apply the net proceeds from the sale of the Offered Securities sold by it in all material respects in the manner described under the caption “Use of Proceeds” in the Registration Statement, the Time of Sale Prospectus and the Prospectus.</w:t>
      </w:r>
    </w:p>
    <w:p>
      <w:pPr>
        <w:pStyle w:val="TextBody"/>
        <w:bidi w:val="0"/>
        <w:spacing w:lineRule="auto" w:line="288" w:before="0" w:after="240"/>
        <w:ind w:left="0" w:right="0" w:firstLine="720"/>
        <w:jc w:val="left"/>
        <w:rPr/>
      </w:pPr>
      <w:r>
        <w:rPr>
          <w:rFonts w:ascii="Times New Roman;serif" w:hAnsi="Times New Roman;serif"/>
          <w:b/>
          <w:color w:val="000000"/>
          <w:sz w:val="22"/>
        </w:rPr>
        <w:t>(j)</w:t>
      </w:r>
      <w:r>
        <w:rPr>
          <w:rFonts w:ascii="Times New Roman;serif" w:hAnsi="Times New Roman;serif"/>
          <w:b/>
          <w:i/>
          <w:color w:val="000000"/>
          <w:sz w:val="22"/>
        </w:rPr>
        <w:t>Transfer Agent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shall engage and maintain, at its expense, a registrar and transfer agent for the Offered Shares and Warrant Shares.</w:t>
      </w:r>
    </w:p>
    <w:p>
      <w:pPr>
        <w:pStyle w:val="TextBody"/>
        <w:bidi w:val="0"/>
        <w:spacing w:lineRule="auto" w:line="288" w:before="0" w:after="240"/>
        <w:ind w:left="0" w:right="0" w:firstLine="720"/>
        <w:jc w:val="left"/>
        <w:rPr/>
      </w:pPr>
      <w:r>
        <w:rPr>
          <w:rFonts w:ascii="Times New Roman;serif" w:hAnsi="Times New Roman;serif"/>
          <w:b/>
          <w:color w:val="000000"/>
          <w:sz w:val="22"/>
        </w:rPr>
        <w:t>(k)</w:t>
      </w:r>
      <w:r>
        <w:rPr>
          <w:rFonts w:ascii="Times New Roman;serif" w:hAnsi="Times New Roman;serif"/>
          <w:b/>
          <w:i/>
          <w:color w:val="000000"/>
          <w:sz w:val="22"/>
        </w:rPr>
        <w:t>Earnings Statement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Company will make generally available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requirements of this Section 3(k) shall be deemed satisfied to the extent such statement is available on EDGAR.</w:t>
      </w:r>
    </w:p>
    <w:p>
      <w:pPr>
        <w:pStyle w:val="TextBody"/>
        <w:bidi w:val="0"/>
        <w:spacing w:lineRule="auto" w:line="288" w:before="0" w:after="240"/>
        <w:ind w:left="0" w:right="0" w:firstLine="720"/>
        <w:jc w:val="left"/>
        <w:rPr/>
      </w:pPr>
      <w:r>
        <w:rPr>
          <w:rFonts w:ascii="Times New Roman;serif" w:hAnsi="Times New Roman;serif"/>
          <w:b/>
          <w:color w:val="000000"/>
          <w:sz w:val="22"/>
        </w:rPr>
        <w:t>(l)</w:t>
      </w:r>
      <w:r>
        <w:rPr>
          <w:rFonts w:ascii="Times New Roman;serif" w:hAnsi="Times New Roman;serif"/>
          <w:b/>
          <w:i/>
          <w:color w:val="000000"/>
          <w:sz w:val="22"/>
        </w:rPr>
        <w:t>Continued Compliance with Securities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will comply with the Securities Act and the Exchange Act so as to permit the completion of the distribution of the Offered Securities as contemplated by this Agreement</w:t>
      </w:r>
      <w:r>
        <w:rPr>
          <w:rFonts w:ascii="Times New Roman;serif" w:hAnsi="Times New Roman;serif"/>
          <w:b/>
          <w:color w:val="000000"/>
          <w:sz w:val="22"/>
        </w:rPr>
        <w:t xml:space="preserve">, </w:t>
      </w:r>
      <w:r>
        <w:rPr>
          <w:rFonts w:ascii="Times New Roman;serif" w:hAnsi="Times New Roman;serif"/>
          <w:b w:val="false"/>
          <w:color w:val="000000"/>
          <w:sz w:val="22"/>
        </w:rPr>
        <w:t xml:space="preserve">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42925"/>
                <wp:effectExtent l="0" t="0" r="0" b="0"/>
                <wp:wrapNone/>
                <wp:docPr id="28" name="Frame2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on a timely basis with the Commission and the Nasdaq all reports and documents required to be filed under the Exchange Act. Additionally, the Company shall report the use of proceeds from the issuance of the Offered Securities as may be required under Rule 463 under the Securities Act.</w:t>
      </w:r>
    </w:p>
    <w:p>
      <w:pPr>
        <w:pStyle w:val="TextBody"/>
        <w:bidi w:val="0"/>
        <w:spacing w:lineRule="auto" w:line="288" w:before="0" w:after="240"/>
        <w:ind w:left="0" w:right="0" w:firstLine="720"/>
        <w:jc w:val="left"/>
        <w:rPr/>
      </w:pPr>
      <w:r>
        <w:rPr>
          <w:rFonts w:ascii="Times New Roman;serif" w:hAnsi="Times New Roman;serif"/>
          <w:b/>
          <w:color w:val="000000"/>
          <w:sz w:val="22"/>
        </w:rPr>
        <w:t>(m)</w:t>
      </w:r>
      <w:r>
        <w:rPr>
          <w:rFonts w:ascii="Times New Roman;serif" w:hAnsi="Times New Roman;serif"/>
          <w:b/>
          <w:i/>
          <w:color w:val="000000"/>
          <w:sz w:val="22"/>
        </w:rPr>
        <w:t>Listing</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will use its reasonable best efforts to list, subject to notice of issuance, the Offered Shares and the Warrant Shares on the Nasdaq.</w:t>
      </w:r>
    </w:p>
    <w:p>
      <w:pPr>
        <w:pStyle w:val="TextBody"/>
        <w:bidi w:val="0"/>
        <w:spacing w:lineRule="auto" w:line="288" w:before="0" w:after="240"/>
        <w:ind w:left="0" w:right="0" w:firstLine="720"/>
        <w:jc w:val="left"/>
        <w:rPr/>
      </w:pPr>
      <w:r>
        <w:rPr>
          <w:rFonts w:ascii="Times New Roman;serif" w:hAnsi="Times New Roman;serif"/>
          <w:b/>
          <w:color w:val="000000"/>
          <w:sz w:val="22"/>
        </w:rPr>
        <w:t>(n)</w:t>
      </w:r>
      <w:r>
        <w:rPr>
          <w:rFonts w:ascii="Times New Roman;serif" w:hAnsi="Times New Roman;serif"/>
          <w:b/>
          <w:i/>
          <w:color w:val="000000"/>
          <w:sz w:val="22"/>
        </w:rPr>
        <w:t>Company to Provide Copy of the Prospectus in Form That May be Downloaded from the Internet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If requested by the Representatives, the Company shall cause to be prepared and delivered, at its expense, within one business day from the effective date of this Agreement, to the Representatives an “</w:t>
      </w:r>
      <w:r>
        <w:rPr>
          <w:rFonts w:ascii="Times New Roman;serif" w:hAnsi="Times New Roman;serif"/>
          <w:b/>
          <w:color w:val="000000"/>
          <w:sz w:val="22"/>
        </w:rPr>
        <w:t>electronic Prospectus</w:t>
      </w:r>
      <w:r>
        <w:rPr>
          <w:color w:val="000000"/>
        </w:rPr>
        <w:t xml:space="preserve">” </w:t>
      </w:r>
      <w:r>
        <w:rPr>
          <w:rFonts w:ascii="Times New Roman;serif" w:hAnsi="Times New Roman;serif"/>
          <w:b w:val="false"/>
          <w:color w:val="000000"/>
          <w:sz w:val="22"/>
        </w:rPr>
        <w:t>to be used by the Underwriters in connection with the offering and sale of the Offered Securities. As used herein, the term “</w:t>
      </w:r>
      <w:r>
        <w:rPr>
          <w:rFonts w:ascii="Times New Roman;serif" w:hAnsi="Times New Roman;serif"/>
          <w:b/>
          <w:color w:val="000000"/>
          <w:sz w:val="22"/>
        </w:rPr>
        <w:t>electronic Prospectus</w:t>
      </w:r>
      <w:r>
        <w:rPr>
          <w:color w:val="000000"/>
        </w:rPr>
        <w:t xml:space="preserve">” </w:t>
      </w:r>
      <w:r>
        <w:rPr>
          <w:rFonts w:ascii="Times New Roman;serif" w:hAnsi="Times New Roman;serif"/>
          <w:b w:val="false"/>
          <w:color w:val="000000"/>
          <w:sz w:val="22"/>
        </w:rPr>
        <w:t>means a form of the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Securities;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pStyle w:val="TextBody"/>
        <w:bidi w:val="0"/>
        <w:spacing w:lineRule="auto" w:line="288" w:before="0" w:after="240"/>
        <w:ind w:left="0" w:right="0" w:firstLine="720"/>
        <w:jc w:val="left"/>
        <w:rPr/>
      </w:pPr>
      <w:r>
        <w:rPr>
          <w:rFonts w:ascii="Times New Roman;serif" w:hAnsi="Times New Roman;serif"/>
          <w:b/>
          <w:color w:val="000000"/>
          <w:sz w:val="22"/>
        </w:rPr>
        <w:t>(o)</w:t>
      </w:r>
      <w:r>
        <w:rPr>
          <w:rFonts w:ascii="Times New Roman;serif" w:hAnsi="Times New Roman;serif"/>
          <w:b/>
          <w:i/>
          <w:color w:val="000000"/>
          <w:sz w:val="22"/>
        </w:rPr>
        <w:t>Agreement Not to Offer or Sell Additional Shares</w:t>
      </w:r>
      <w:r>
        <w:rPr>
          <w:rFonts w:ascii="Times New Roman;serif" w:hAnsi="Times New Roman;serif"/>
          <w:b w:val="false"/>
          <w:color w:val="000000"/>
          <w:sz w:val="22"/>
        </w:rPr>
        <w:t>. During the period commencing on and including the date hereof and continuing through and including the 60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date of the Prospectus (such period, as extended as described below, being referred to herein as the “</w:t>
      </w:r>
      <w:r>
        <w:rPr>
          <w:rFonts w:ascii="Times New Roman;serif" w:hAnsi="Times New Roman;serif"/>
          <w:b/>
          <w:color w:val="000000"/>
          <w:sz w:val="22"/>
        </w:rPr>
        <w:t>Lock-up Period</w:t>
      </w:r>
      <w:r>
        <w:rPr>
          <w:color w:val="000000"/>
        </w:rPr>
        <w:t>”</w:t>
      </w:r>
      <w:r>
        <w:rPr>
          <w:rFonts w:ascii="Times New Roman;serif" w:hAnsi="Times New Roman;serif"/>
          <w:b w:val="false"/>
          <w:color w:val="000000"/>
          <w:sz w:val="22"/>
        </w:rPr>
        <w:t xml:space="preserve">), the Company will not, without the prior written consent of Jefferies and TD Cowen (which consent may be withheld in its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Securities); (viii) effect a reverse stock split, recapitalization, share consolidation, reclassification or similar transaction affecting the outstanding Shares; or (ix) publicly announce the intention to do any of the foregoing; provided, however, that the Company may (A) effect the transactions contemplated hereby and deliver the Warrant Shares upon exercise of the Pre-Funded Warrants, (B) issue Shares or options to purchase Shares, RSUs or issue Shares upon exercise of options or settlement of RSUs, pursuant to any stock option, stock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42925"/>
                <wp:effectExtent l="0" t="0" r="0" b="0"/>
                <wp:wrapNone/>
                <wp:docPr id="29" name="Frame2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bonus, employee stock purchase plan or other equity plan or arrangement described in the Registration Statement, the Time of Sale Prospectus and the Prospectus, including any increase in the number of share reserved for issuance thereunder subsequently approved by the Company’s shareholders or board of directors, provided each newly appointed director or executive officer that is a recipient of such securities during the Lock-up Period enter into a Lock-up Agreement in substantially the form attached as Exhibit A, (C) file or announce an intention to file one or more registration statements on Form S-8 or a successor form thereto to register Shares issuable pursuant to the terms of a share option, share purchase, share bonus or other share plan or arrangement described in the Registration Statement, including any increase in the number of shares reserved for issuance thereunder subsequently approved by the Company’s shareholders or board of directors, (D) issue and sell ordinary shares pursuant to the Open Market Sale Agreement</w:t>
      </w:r>
      <w:r>
        <w:rPr>
          <w:rFonts w:ascii="Times New Roman;serif" w:hAnsi="Times New Roman;serif"/>
          <w:b w:val="false"/>
          <w:color w:val="000000"/>
          <w:sz w:val="14"/>
        </w:rPr>
        <w:t>SM</w:t>
      </w:r>
      <w:r>
        <w:rPr>
          <w:rFonts w:ascii="Times New Roman;serif" w:hAnsi="Times New Roman;serif"/>
          <w:b w:val="false"/>
          <w:color w:val="000000"/>
          <w:sz w:val="22"/>
        </w:rPr>
        <w:t>, by and between the Company and Jefferies, dated July 1, 2026, commencing the earlier of (x) the exercise in full by the Underwriters of their option to purchase the Optional Shares or (y) the thirtieth (30</w:t>
      </w:r>
      <w:r>
        <w:rPr>
          <w:rFonts w:ascii="Times New Roman;serif" w:hAnsi="Times New Roman;serif"/>
          <w:b w:val="false"/>
          <w:color w:val="000000"/>
          <w:sz w:val="14"/>
        </w:rPr>
        <w:t>th</w:t>
      </w:r>
      <w:r>
        <w:rPr>
          <w:rFonts w:ascii="Times New Roman;serif" w:hAnsi="Times New Roman;serif"/>
          <w:b w:val="false"/>
          <w:color w:val="000000"/>
          <w:sz w:val="22"/>
        </w:rPr>
        <w:t>) day following the date of the Prospectus, and (D) issue Shares or any Related Securities issued in connection with any merger, joint venture, strategic alliance, commercial or other strategic or collaborative relationship or the acquisition or license by the Company of the securities, businesses, property or other assets of another person or entity or pursuant to any employment benefit plan assumed by the Company in connection with any such merger or acquisition, provided that in the case of clause (D), (i) the aggregate number of shares that the Company may sell or issue or agree to sell or issue pursuant to clause (D), shall not exceed 5.0% of the total number of Shares issued and outstanding immediately following the completion of the transactions contemplated by this Agreement and (ii) the recipients thereof provide to the Representatives a signed Lock-up Agreement in substantially the form attached as Exhibit A. For purposes of the foregoing, “Related Securities” shall mean any options or warrants or other rights to acquire Shares or any securities exchangeable or exercisable for or convertible into Shares, or to acquire other securities or rights ultimately exchangeable or exercisable for, or convertible into, Shares.</w:t>
      </w:r>
    </w:p>
    <w:p>
      <w:pPr>
        <w:pStyle w:val="TextBody"/>
        <w:bidi w:val="0"/>
        <w:spacing w:lineRule="auto" w:line="288" w:before="0" w:after="240"/>
        <w:ind w:left="0" w:right="0" w:firstLine="720"/>
        <w:jc w:val="left"/>
        <w:rPr/>
      </w:pPr>
      <w:r>
        <w:rPr>
          <w:rFonts w:ascii="Times New Roman;serif" w:hAnsi="Times New Roman;serif"/>
          <w:b/>
          <w:color w:val="000000"/>
          <w:sz w:val="22"/>
        </w:rPr>
        <w:t>(p)</w:t>
      </w:r>
      <w:r>
        <w:rPr>
          <w:rFonts w:ascii="Times New Roman;serif" w:hAnsi="Times New Roman;serif"/>
          <w:b/>
          <w:i/>
          <w:color w:val="000000"/>
          <w:sz w:val="22"/>
        </w:rPr>
        <w:t>Future Reports to the Representatives</w:t>
      </w:r>
      <w:r>
        <w:rPr>
          <w:rFonts w:ascii="Times New Roman;serif" w:hAnsi="Times New Roman;serif"/>
          <w:b w:val="false"/>
          <w:color w:val="000000"/>
          <w:sz w:val="22"/>
        </w:rPr>
        <w:t>. During the period of five years hereafter, the Company will furnish to the Representatives, c/o Jefferies LLC, at 520 Madison Avenue, New York, New York 10022, Attention: Global Head of Syndicate, and c/o TD Securities (USA) LLC, at 1 Vanderbilt Avenue, New York, New York 10017, Attention: Head of Equity Capital Markets, with a copy to CIBLegal@tdsecurities.com,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share capital; provided, however, that the requirements of this Section 3(p) shall be satisfied to the extent that such reports, statement, communications, financial statements or other documents are available on EDGAR.</w:t>
      </w:r>
    </w:p>
    <w:p>
      <w:pPr>
        <w:pStyle w:val="TextBody"/>
        <w:bidi w:val="0"/>
        <w:spacing w:lineRule="auto" w:line="288" w:before="0" w:after="240"/>
        <w:ind w:left="0" w:right="0" w:firstLine="720"/>
        <w:jc w:val="left"/>
        <w:rPr/>
      </w:pPr>
      <w:r>
        <w:rPr>
          <w:rFonts w:ascii="Times New Roman;serif" w:hAnsi="Times New Roman;serif"/>
          <w:b/>
          <w:color w:val="000000"/>
          <w:sz w:val="22"/>
        </w:rPr>
        <w:t>(q)</w:t>
      </w:r>
      <w:r>
        <w:rPr>
          <w:rFonts w:ascii="Times New Roman;serif" w:hAnsi="Times New Roman;serif"/>
          <w:b/>
          <w:i/>
          <w:color w:val="000000"/>
          <w:sz w:val="22"/>
        </w:rPr>
        <w:t>Investment Limitation</w:t>
      </w:r>
      <w:r>
        <w:rPr>
          <w:rFonts w:ascii="Times New Roman;serif" w:hAnsi="Times New Roman;serif"/>
          <w:b w:val="false"/>
          <w:color w:val="000000"/>
          <w:sz w:val="22"/>
        </w:rPr>
        <w:t>. The Company shall not invest or otherwise use the proceeds received by the Company from its sale of the Offered Securities in such a manner as would require the Company or any of its subsidiaries to register as an investment company under the Investment Company Act.</w:t>
      </w:r>
    </w:p>
    <w:p>
      <w:pPr>
        <w:pStyle w:val="TextBody"/>
        <w:bidi w:val="0"/>
        <w:spacing w:lineRule="auto" w:line="288" w:before="0" w:after="240"/>
        <w:ind w:left="0" w:right="0" w:firstLine="720"/>
        <w:jc w:val="left"/>
        <w:rPr/>
      </w:pPr>
      <w:r>
        <w:rPr>
          <w:rFonts w:ascii="Times New Roman;serif" w:hAnsi="Times New Roman;serif"/>
          <w:b/>
          <w:color w:val="000000"/>
          <w:sz w:val="22"/>
        </w:rPr>
        <w:t>(r)</w:t>
      </w:r>
      <w:r>
        <w:rPr>
          <w:rFonts w:ascii="Times New Roman;serif" w:hAnsi="Times New Roman;serif"/>
          <w:b/>
          <w:i/>
          <w:color w:val="000000"/>
          <w:sz w:val="22"/>
        </w:rPr>
        <w:t>No Stabilization or Manipulation; Compliance with Regulation M</w:t>
      </w:r>
      <w:r>
        <w:rPr>
          <w:rFonts w:ascii="Times New Roman;serif" w:hAnsi="Times New Roman;serif"/>
          <w:b w:val="false"/>
          <w:color w:val="000000"/>
          <w:sz w:val="22"/>
        </w:rPr>
        <w:t xml:space="preserve">. The Company will not take, and will ensure that no affiliate of the Company will take, directly or indirectly, without giving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42925"/>
                <wp:effectExtent l="0" t="0" r="0" b="0"/>
                <wp:wrapNone/>
                <wp:docPr id="30" name="Frame3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effect to activities by the Underwriters, any action designed to or that would reasonably be expected to cause or result in stabilization or manipulation of the price of the Shares or any reference security with respect to the Shares, whether to facilitate the sale or resale of the Offered Securities or otherwise, and the Company will, and shall cause each of its affiliates to, comply with all applicable provisions of Regulation M. </w:t>
      </w:r>
    </w:p>
    <w:p>
      <w:pPr>
        <w:pStyle w:val="TextBody"/>
        <w:bidi w:val="0"/>
        <w:spacing w:lineRule="auto" w:line="288" w:before="0" w:after="240"/>
        <w:ind w:left="0" w:right="0" w:firstLine="720"/>
        <w:jc w:val="left"/>
        <w:rPr/>
      </w:pPr>
      <w:r>
        <w:rPr>
          <w:rFonts w:ascii="Times New Roman;serif" w:hAnsi="Times New Roman;serif"/>
          <w:b/>
          <w:color w:val="000000"/>
          <w:sz w:val="22"/>
        </w:rPr>
        <w:t>(s)</w:t>
      </w:r>
      <w:r>
        <w:rPr>
          <w:rFonts w:ascii="Times New Roman;serif" w:hAnsi="Times New Roman;serif"/>
          <w:b/>
          <w:i/>
          <w:color w:val="000000"/>
          <w:sz w:val="22"/>
        </w:rPr>
        <w:t>Enforce Lock-Up Agreements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During the Lock-up Period, the Company will enforce all agreements between the Company and any of its securityholders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directors and certain securityholders pursuant to Section 6(j) hereof.</w:t>
      </w:r>
    </w:p>
    <w:p>
      <w:pPr>
        <w:pStyle w:val="TextBody"/>
        <w:bidi w:val="0"/>
        <w:spacing w:lineRule="auto" w:line="288" w:before="0" w:after="240"/>
        <w:ind w:left="0" w:right="0" w:firstLine="720"/>
        <w:jc w:val="left"/>
        <w:rPr/>
      </w:pPr>
      <w:r>
        <w:rPr>
          <w:rFonts w:ascii="Times New Roman;serif" w:hAnsi="Times New Roman;serif"/>
          <w:b/>
          <w:color w:val="000000"/>
          <w:sz w:val="22"/>
        </w:rPr>
        <w:t>(t)</w:t>
      </w:r>
      <w:r>
        <w:rPr>
          <w:rFonts w:ascii="Times New Roman;serif" w:hAnsi="Times New Roman;serif"/>
          <w:b/>
          <w:i/>
          <w:color w:val="000000"/>
          <w:sz w:val="22"/>
        </w:rPr>
        <w:t>Company to Provide Interim Financial Statements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Prior to the First Closing Date and each applicable Option Closing Date, the Company will furnish the Underwriters, as soon as reasonably practicable, a copy of any unaudited interim financial statements of the Company for any period subsequent to the period covered by the most recent financial statements appearing in the Registration Statement and the Prospectus,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requirements of this Section 3(t) shall be deemed satisfied to the extent such financial statements are available on EDGAR.</w:t>
      </w:r>
    </w:p>
    <w:p>
      <w:pPr>
        <w:pStyle w:val="TextBody"/>
        <w:bidi w:val="0"/>
        <w:spacing w:lineRule="auto" w:line="288" w:before="0" w:after="240"/>
        <w:ind w:left="0" w:right="0" w:firstLine="720"/>
        <w:jc w:val="left"/>
        <w:rPr/>
      </w:pPr>
      <w:r>
        <w:rPr>
          <w:rFonts w:ascii="Times New Roman;serif" w:hAnsi="Times New Roman;serif"/>
          <w:b/>
          <w:color w:val="000000"/>
          <w:sz w:val="22"/>
        </w:rPr>
        <w:t>(u)</w:t>
      </w:r>
      <w:r>
        <w:rPr>
          <w:rFonts w:ascii="Times New Roman;serif" w:hAnsi="Times New Roman;serif"/>
          <w:b/>
          <w:i/>
          <w:color w:val="000000"/>
          <w:sz w:val="22"/>
        </w:rPr>
        <w:t>Amendments and Supplements to Permitted Testing-the-Waters Communications</w:t>
      </w:r>
      <w:r>
        <w:rPr>
          <w:rFonts w:ascii="Times New Roman;serif" w:hAnsi="Times New Roman;serif"/>
          <w:b w:val="false"/>
          <w:color w:val="000000"/>
          <w:sz w:val="22"/>
        </w:rPr>
        <w:t>. If at any time following the distribution of any Permitted Testing-the-Waters Communication, during the period when a prospectus relating to the Offered Securities is required by the Securities Act to be delivered, whether physically or through compliance with Rule 172 under the Securities Act or any similar rule, there occurred or occurs an event or development as a result of which such Permitted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upon the reasonable request of the Representatives, and will promptly amend or supplement, at its own expense, such Permitted Testing-the-Waters Communication to eliminate or correct such untrue statement or omission.</w:t>
      </w:r>
    </w:p>
    <w:p>
      <w:pPr>
        <w:pStyle w:val="TextBody"/>
        <w:bidi w:val="0"/>
        <w:spacing w:lineRule="auto" w:line="288" w:before="0" w:after="240"/>
        <w:ind w:left="0" w:right="0" w:firstLine="720"/>
        <w:jc w:val="left"/>
        <w:rPr/>
      </w:pPr>
      <w:r>
        <w:rPr>
          <w:rFonts w:ascii="Times New Roman;serif" w:hAnsi="Times New Roman;serif"/>
          <w:b/>
          <w:color w:val="000000"/>
          <w:sz w:val="22"/>
        </w:rPr>
        <w:t>(v)</w:t>
      </w:r>
      <w:r>
        <w:rPr>
          <w:rFonts w:ascii="Times New Roman;serif" w:hAnsi="Times New Roman;serif"/>
          <w:b/>
          <w:i/>
          <w:color w:val="000000"/>
          <w:sz w:val="22"/>
        </w:rPr>
        <w:t>Value Added Tax.</w:t>
      </w:r>
      <w:r>
        <w:rPr>
          <w:color w:val="000000"/>
        </w:rPr>
        <w:t xml:space="preserve"> </w:t>
      </w:r>
      <w:r>
        <w:rPr>
          <w:rFonts w:ascii="Times New Roman;serif" w:hAnsi="Times New Roman;serif"/>
          <w:b w:val="false"/>
          <w:color w:val="000000"/>
          <w:sz w:val="22"/>
        </w:rPr>
        <w:t>All sums payable to an Underwriter shall be considered exclusive of any value added tax chargeable pursuant to the Value Added Tax Act 1994 (“</w:t>
      </w:r>
      <w:r>
        <w:rPr>
          <w:rFonts w:ascii="Times New Roman;serif" w:hAnsi="Times New Roman;serif"/>
          <w:b/>
          <w:color w:val="000000"/>
          <w:sz w:val="22"/>
        </w:rPr>
        <w:t>VAT</w:t>
      </w:r>
      <w:r>
        <w:rPr>
          <w:color w:val="000000"/>
        </w:rPr>
        <w:t>”</w:t>
      </w:r>
      <w:r>
        <w:rPr>
          <w:rFonts w:ascii="Times New Roman;serif" w:hAnsi="Times New Roman;serif"/>
          <w:b w:val="false"/>
          <w:color w:val="000000"/>
          <w:sz w:val="22"/>
        </w:rPr>
        <w:t>). Where the Company is obligated to pay VAT on any amount payable hereunder to an Underwriter, the Company shall in addition to the sum payable hereunder pay an amount equal to any applicable VAT to the extent not recoverable by such Underwriter and subject to receipt of a valid VAT invoice from such Underwriter.</w:t>
      </w:r>
    </w:p>
    <w:p>
      <w:pPr>
        <w:pStyle w:val="TextBody"/>
        <w:bidi w:val="0"/>
        <w:spacing w:lineRule="auto" w:line="288" w:before="0" w:after="240"/>
        <w:ind w:left="0" w:right="0" w:firstLine="720"/>
        <w:jc w:val="left"/>
        <w:rPr/>
      </w:pPr>
      <w:r>
        <w:rPr>
          <w:rFonts w:ascii="Times New Roman;serif" w:hAnsi="Times New Roman;serif"/>
          <w:b/>
          <w:color w:val="000000"/>
          <w:sz w:val="22"/>
        </w:rPr>
        <w:t>(w)</w:t>
      </w:r>
      <w:r>
        <w:rPr>
          <w:rFonts w:ascii="Times New Roman;serif" w:hAnsi="Times New Roman;serif"/>
          <w:b/>
          <w:i/>
          <w:color w:val="000000"/>
          <w:sz w:val="22"/>
        </w:rPr>
        <w:t>Warrant Shares Reserved</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shall, at all times while any Pre-Funded Warrants are outstanding, reserve and keep available out of its authorized but unissued and otherwise unreserved Shares, solely for the purpose of enabling it to issue Warrant Shares upon exercise of such Pre-Funded Warrants, the number of Warrant Shares that are initially issuable and deliverable upon exercise of the then outstanding Pre-Funded Warrants.</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42925"/>
                <wp:effectExtent l="0" t="0" r="0" b="0"/>
                <wp:wrapNone/>
                <wp:docPr id="31" name="Frame3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2"/>
        </w:rPr>
        <w:t>Section 4.</w:t>
      </w:r>
      <w:r>
        <w:rPr>
          <w:color w:val="000000"/>
        </w:rPr>
        <w:t xml:space="preserve"> </w:t>
      </w:r>
      <w:r>
        <w:rPr>
          <w:rFonts w:ascii="Times New Roman;serif" w:hAnsi="Times New Roman;serif"/>
          <w:b/>
          <w:i/>
          <w:color w:val="000000"/>
          <w:sz w:val="22"/>
        </w:rPr>
        <w:t xml:space="preserve">Payment of Expenses. </w:t>
      </w:r>
      <w:r>
        <w:rPr>
          <w:rFonts w:ascii="Times New Roman;serif" w:hAnsi="Times New Roman;serif"/>
          <w:b w:val="false"/>
          <w:color w:val="000000"/>
          <w:sz w:val="22"/>
        </w:rPr>
        <w:t xml:space="preserve">The Company agrees to pay all costs, fees and expenses incurred in connection with the performance of its obligations hereunder and in connection with the transactions contemplated hereby, including without limitation (i) all expenses incident to the issuance and delivery of the Offered Securities and the Warrant Shares (including all printing and engraving costs), (ii) all fees and expenses of the registrar and transfer agent of the Shares, (iii) all necessary issue, transfer, stamp and other similar taxes in connection with the issuance and sale of the Offered Securities to the Underwriters or in connection with the sale of the Offered Securities by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Base Prospectus, the Time of Sale Prospectus, the Prospectus, and each preliminary prospectus, each Permitted Testing-the-Waters Communication, and all amendments and supplements thereto, and this Agreement, (vi) all filing fees, reasonable and documented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Securities, including any related filing fees and the legal fees of, and disbursements by, counsel to the Underwriters,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such legal fees, taken together with the legal fees described in clause (vi) above, shall not exceed $40,000 in the aggregate, (viii) the costs and expenses of the Company relating to investor presentations on any “road show”, any Permitted Testing-the-Waters Communication or any Oral Testing-the-Waters Communication undertaken in connection with the offering of the Offered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(it being understood that the Underwriters will pay or cause to be paid the travel and lodging expenses of their representatives), (ix) the fees and expenses associated with listing the Offered Shares and Warrant Shares on the Nasdaq, and (x) all other fees, costs and expenses of the nature referred to in Item 13 of Part II of the Registration Statement. Except as provided in this Section 4 or in Section 7, Section 9 or Section 10 hereof, the Underwriters shall pay their own expenses, including the fees and disbursements of their counsel.</w:t>
      </w:r>
    </w:p>
    <w:p>
      <w:pPr>
        <w:pStyle w:val="TextBody"/>
        <w:bidi w:val="0"/>
        <w:spacing w:lineRule="auto" w:line="288" w:before="0" w:after="240"/>
        <w:ind w:left="0" w:right="0" w:firstLine="1440"/>
        <w:jc w:val="left"/>
        <w:rPr/>
      </w:pPr>
      <w:r>
        <w:rPr>
          <w:rFonts w:ascii="Times New Roman;serif" w:hAnsi="Times New Roman;serif"/>
          <w:b/>
          <w:color w:val="000000"/>
          <w:sz w:val="22"/>
        </w:rPr>
        <w:t>Section 5.</w:t>
      </w:r>
      <w:r>
        <w:rPr>
          <w:rFonts w:ascii="Times New Roman;serif" w:hAnsi="Times New Roman;serif"/>
          <w:b/>
          <w:i/>
          <w:color w:val="000000"/>
          <w:sz w:val="22"/>
        </w:rPr>
        <w:t>Covenant of the Underwriters</w:t>
      </w:r>
      <w:r>
        <w:rPr>
          <w:rFonts w:ascii="Times New Roman;serif" w:hAnsi="Times New Roman;serif"/>
          <w:b w:val="false"/>
          <w:color w:val="000000"/>
          <w:sz w:val="22"/>
        </w:rPr>
        <w:t>.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pStyle w:val="TextBody"/>
        <w:bidi w:val="0"/>
        <w:spacing w:lineRule="auto" w:line="288" w:before="0" w:after="240"/>
        <w:ind w:left="0" w:right="0" w:firstLine="1440"/>
        <w:jc w:val="left"/>
        <w:rPr/>
      </w:pPr>
      <w:r>
        <w:rPr>
          <w:rFonts w:ascii="Times New Roman;serif" w:hAnsi="Times New Roman;serif"/>
          <w:b/>
          <w:color w:val="000000"/>
          <w:sz w:val="22"/>
        </w:rPr>
        <w:t>Section 6.</w:t>
      </w:r>
      <w:r>
        <w:rPr>
          <w:rFonts w:ascii="Times New Roman;serif" w:hAnsi="Times New Roman;serif"/>
          <w:b/>
          <w:i/>
          <w:color w:val="000000"/>
          <w:sz w:val="22"/>
        </w:rPr>
        <w:t>Conditions of the Obligations of the Underwriters</w:t>
      </w:r>
      <w:r>
        <w:rPr>
          <w:rFonts w:ascii="Times New Roman;serif" w:hAnsi="Times New Roman;serif"/>
          <w:b w:val="false"/>
          <w:color w:val="000000"/>
          <w:sz w:val="22"/>
        </w:rPr>
        <w:t xml:space="preserve">. The respective obligations of the several Underwriters hereunder to purchase and pay for the Offered Securities as provided herein on the First Closing Date and, with respect to the Optional Shares, each Option Closing Date, shall be subject to the accuracy of the representations and warranties on the part of the Company set </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42925"/>
                <wp:effectExtent l="0" t="0" r="0" b="0"/>
                <wp:wrapNone/>
                <wp:docPr id="32" name="Frame3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pStyle w:val="TextBody"/>
        <w:bidi w:val="0"/>
        <w:spacing w:lineRule="auto" w:line="288" w:before="0" w:after="240"/>
        <w:ind w:left="0" w:right="0" w:firstLine="720"/>
        <w:jc w:val="left"/>
        <w:rPr/>
      </w:pPr>
      <w:r>
        <w:rPr>
          <w:rFonts w:ascii="Times New Roman;serif" w:hAnsi="Times New Roman;serif"/>
          <w:b/>
          <w:color w:val="000000"/>
          <w:sz w:val="22"/>
        </w:rPr>
        <w:t>(a)</w:t>
      </w:r>
      <w:r>
        <w:rPr>
          <w:rFonts w:ascii="Times New Roman;serif" w:hAnsi="Times New Roman;serif"/>
          <w:b/>
          <w:i/>
          <w:color w:val="000000"/>
          <w:sz w:val="22"/>
        </w:rPr>
        <w:t>Comfort Letter</w:t>
      </w:r>
      <w:r>
        <w:rPr>
          <w:rFonts w:ascii="Times New Roman;serif" w:hAnsi="Times New Roman;serif"/>
          <w:b w:val="false"/>
          <w:color w:val="000000"/>
          <w:sz w:val="22"/>
        </w:rPr>
        <w:t xml:space="preserve">. On the date hereof, the Representatives shall have received from PricewaterhouseCoopers LLP,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and the Time of Sale Prospectus. </w:t>
      </w:r>
    </w:p>
    <w:p>
      <w:pPr>
        <w:pStyle w:val="TextBody"/>
        <w:bidi w:val="0"/>
        <w:spacing w:lineRule="auto" w:line="288" w:before="0" w:after="240"/>
        <w:ind w:left="0" w:right="0" w:firstLine="720"/>
        <w:jc w:val="left"/>
        <w:rPr/>
      </w:pPr>
      <w:r>
        <w:rPr>
          <w:rFonts w:ascii="Times New Roman;serif" w:hAnsi="Times New Roman;serif"/>
          <w:b/>
          <w:color w:val="000000"/>
          <w:sz w:val="22"/>
        </w:rPr>
        <w:t>(b)</w:t>
      </w:r>
      <w:r>
        <w:rPr>
          <w:rFonts w:ascii="Times New Roman;serif" w:hAnsi="Times New Roman;serif"/>
          <w:b/>
          <w:i/>
          <w:color w:val="000000"/>
          <w:sz w:val="22"/>
        </w:rPr>
        <w:t>Compliance with Registration Requirements; No Stop Order; No Objection from FINRA</w:t>
      </w:r>
      <w:r>
        <w:rPr>
          <w:rFonts w:ascii="Times New Roman;serif" w:hAnsi="Times New Roman;serif"/>
          <w:b w:val="false"/>
          <w:color w:val="000000"/>
          <w:sz w:val="22"/>
        </w:rPr>
        <w:t>. For the period from and after the date of this Agreement and through and including the First Closing Date and, with respect to any Optional Shares purchased after the First Closing Date, each Option Closing Date:</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rPr>
        <w:t>No stop order suspending the effectiveness of the Registration Statement or any post-effective amendment to the Registration Statement shall be in effect, and no proceedings for such purpose shall have been instituted or, to the Company’s knowledge, are threatened by the Commission.</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rPr>
        <w:t>FINRA shall have raised no objection to the fairness and reasonableness of the underwriting terms and arrangements.</w:t>
      </w:r>
    </w:p>
    <w:p>
      <w:pPr>
        <w:pStyle w:val="TextBody"/>
        <w:bidi w:val="0"/>
        <w:spacing w:lineRule="auto" w:line="288" w:before="0" w:after="240"/>
        <w:ind w:left="0" w:right="0" w:firstLine="720"/>
        <w:jc w:val="left"/>
        <w:rPr/>
      </w:pPr>
      <w:r>
        <w:rPr>
          <w:rFonts w:ascii="Times New Roman;serif" w:hAnsi="Times New Roman;serif"/>
          <w:b/>
          <w:color w:val="000000"/>
          <w:sz w:val="22"/>
        </w:rPr>
        <w:t>(c)</w:t>
      </w:r>
      <w:r>
        <w:rPr>
          <w:rFonts w:ascii="Times New Roman;serif" w:hAnsi="Times New Roman;serif"/>
          <w:b/>
          <w:i/>
          <w:color w:val="000000"/>
          <w:sz w:val="22"/>
        </w:rPr>
        <w:t>No Material Adverse Change or Ratings Agency Change</w:t>
      </w:r>
      <w:r>
        <w:rPr>
          <w:rFonts w:ascii="Times New Roman;serif" w:hAnsi="Times New Roman;serif"/>
          <w:b w:val="false"/>
          <w:color w:val="000000"/>
          <w:sz w:val="22"/>
        </w:rPr>
        <w:t>. For the period from and after the date of this Agreement and through and including the First Closing Date and, with respect to any Optional Shares purchased after the First Closing Date, each Option Closing Date:</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rPr>
        <w:t>in the judgment of the Representatives there shall not have occurred any Material Adverse Change; and</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pStyle w:val="TextBody"/>
        <w:bidi w:val="0"/>
        <w:spacing w:lineRule="auto" w:line="288" w:before="0" w:after="240"/>
        <w:ind w:left="0" w:right="0" w:firstLine="720"/>
        <w:jc w:val="left"/>
        <w:rPr/>
      </w:pPr>
      <w:r>
        <w:rPr>
          <w:rFonts w:ascii="Times New Roman;serif" w:hAnsi="Times New Roman;serif"/>
          <w:b/>
          <w:color w:val="000000"/>
          <w:sz w:val="22"/>
        </w:rPr>
        <w:t>(d)</w:t>
      </w:r>
      <w:r>
        <w:rPr>
          <w:rFonts w:ascii="Times New Roman;serif" w:hAnsi="Times New Roman;serif"/>
          <w:b/>
          <w:i/>
          <w:color w:val="000000"/>
          <w:sz w:val="22"/>
        </w:rPr>
        <w:t>Opinion and Negative Assurance Letter of U.S. Counsel for the Company</w:t>
      </w:r>
      <w:r>
        <w:rPr>
          <w:rFonts w:ascii="Times New Roman;serif" w:hAnsi="Times New Roman;serif"/>
          <w:b w:val="false"/>
          <w:color w:val="000000"/>
          <w:sz w:val="22"/>
        </w:rPr>
        <w:t xml:space="preserve">. On each of the First Closing Date and each Option Closing Date, the Representatives shall have received the opinion, </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42925"/>
                <wp:effectExtent l="0" t="0" r="0" b="0"/>
                <wp:wrapNone/>
                <wp:docPr id="33" name="Frame3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including an opinion with respect to regulatory law matters, and negative assurance letter of Latham &amp; Watkins LLP, counsel for the Company, dated as of such date, in form and substance satisfactory to the Representatives.</w:t>
      </w:r>
    </w:p>
    <w:p>
      <w:pPr>
        <w:pStyle w:val="TextBody"/>
        <w:bidi w:val="0"/>
        <w:spacing w:lineRule="auto" w:line="288" w:before="0" w:after="240"/>
        <w:ind w:left="0" w:right="0" w:firstLine="720"/>
        <w:jc w:val="left"/>
        <w:rPr/>
      </w:pPr>
      <w:r>
        <w:rPr>
          <w:rFonts w:ascii="Times New Roman;serif" w:hAnsi="Times New Roman;serif"/>
          <w:b/>
          <w:color w:val="000000"/>
          <w:sz w:val="22"/>
        </w:rPr>
        <w:t>(e)</w:t>
      </w:r>
      <w:r>
        <w:rPr>
          <w:rFonts w:ascii="Times New Roman;serif" w:hAnsi="Times New Roman;serif"/>
          <w:b/>
          <w:i/>
          <w:color w:val="000000"/>
          <w:sz w:val="22"/>
        </w:rPr>
        <w:t>Opinion of Intellectual Property Counsel for the Company.</w:t>
      </w:r>
      <w:r>
        <w:rPr>
          <w:color w:val="000000"/>
        </w:rPr>
        <w:t xml:space="preserve"> </w:t>
      </w:r>
      <w:r>
        <w:rPr>
          <w:rFonts w:ascii="Times New Roman;serif" w:hAnsi="Times New Roman;serif"/>
          <w:b w:val="false"/>
          <w:color w:val="000000"/>
          <w:sz w:val="22"/>
        </w:rPr>
        <w:t>On each of the First Closing Date and each Option Closing Date, the Representatives shall have received the opinion of Wolf, Greenfield &amp; Sacks, P.C., intellectual property counsel for the Company, dated as of such date, in form and substance satisfactory to the Representatives.</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2"/>
        </w:rPr>
        <w:t>(f)</w:t>
      </w:r>
      <w:r>
        <w:rPr>
          <w:rFonts w:ascii="Times New Roman;serif" w:hAnsi="Times New Roman;serif"/>
          <w:b/>
          <w:i/>
          <w:color w:val="000000"/>
          <w:sz w:val="22"/>
        </w:rPr>
        <w:t xml:space="preserve">Opinion of Cayman Islands Counsel for the Company. </w:t>
      </w:r>
      <w:r>
        <w:rPr>
          <w:rFonts w:ascii="Times New Roman;serif" w:hAnsi="Times New Roman;serif"/>
          <w:b w:val="false"/>
          <w:color w:val="000000"/>
          <w:sz w:val="22"/>
        </w:rPr>
        <w:t>On each of the First Closing Date and each Option Closing Date, the Representatives shall have received the opinion of Walkers (Cayman) LLP, Cayman Islands counsel for the Company, dated as of such date, in form and substance satisfactory to the Representatives.</w:t>
      </w:r>
    </w:p>
    <w:p>
      <w:pPr>
        <w:pStyle w:val="TextBody"/>
        <w:bidi w:val="0"/>
        <w:spacing w:lineRule="auto" w:line="288" w:before="0" w:after="240"/>
        <w:ind w:left="0" w:right="0" w:firstLine="720"/>
        <w:jc w:val="left"/>
        <w:rPr/>
      </w:pPr>
      <w:r>
        <w:rPr>
          <w:rFonts w:ascii="Times New Roman;serif" w:hAnsi="Times New Roman;serif"/>
          <w:b/>
          <w:color w:val="000000"/>
          <w:sz w:val="22"/>
        </w:rPr>
        <w:t>(g)</w:t>
      </w:r>
      <w:r>
        <w:rPr>
          <w:rFonts w:ascii="Times New Roman;serif" w:hAnsi="Times New Roman;serif"/>
          <w:b/>
          <w:i/>
          <w:color w:val="000000"/>
          <w:sz w:val="22"/>
        </w:rPr>
        <w:t>Opinion and Negative Assurance Letter of Counsel for the Underwriters</w:t>
      </w:r>
      <w:r>
        <w:rPr>
          <w:rFonts w:ascii="Times New Roman;serif" w:hAnsi="Times New Roman;serif"/>
          <w:b w:val="false"/>
          <w:color w:val="000000"/>
          <w:sz w:val="22"/>
        </w:rPr>
        <w:t xml:space="preserve">. On each of the First Closing Date and each Option Closing Date, the Representatives shall have received the opinion and negative assurance letter of Cooley LLP, counsel for the Underwriters in connection with the offer and sale of the Offered Securities, in form and substance satisfactory to the Representatives, dated as of such date. </w:t>
      </w:r>
    </w:p>
    <w:p>
      <w:pPr>
        <w:pStyle w:val="TextBody"/>
        <w:bidi w:val="0"/>
        <w:spacing w:lineRule="auto" w:line="288" w:before="0" w:after="240"/>
        <w:ind w:left="0" w:right="0" w:firstLine="720"/>
        <w:jc w:val="left"/>
        <w:rPr/>
      </w:pPr>
      <w:r>
        <w:rPr>
          <w:rFonts w:ascii="Times New Roman;serif" w:hAnsi="Times New Roman;serif"/>
          <w:b/>
          <w:color w:val="000000"/>
          <w:sz w:val="22"/>
        </w:rPr>
        <w:t>(h)</w:t>
      </w:r>
      <w:r>
        <w:rPr>
          <w:rFonts w:ascii="Times New Roman;serif" w:hAnsi="Times New Roman;serif"/>
          <w:b/>
          <w:i/>
          <w:color w:val="000000"/>
          <w:sz w:val="22"/>
        </w:rPr>
        <w:t>Officers’ Certificate</w:t>
      </w:r>
      <w:r>
        <w:rPr>
          <w:rFonts w:ascii="Times New Roman;serif" w:hAnsi="Times New Roman;serif"/>
          <w:b w:val="false"/>
          <w:color w:val="000000"/>
          <w:sz w:val="22"/>
        </w:rPr>
        <w:t>. On each of the First Closing Date and each Option Closing Date, the Representatives shall have received a certificate executed by the Chief Executive Officer or President of the Company and the Chief Financial Officer of the Company, dated as of such date, to the effect set forth in Section 6(b)(ii) and further to the effect that:</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rPr>
        <w:t>for the period from and including the date of this Agreement through and including such date, there has not occurred any Material Adverse Change;</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rPr>
        <w:t>the representations, warranties and covenants of the Company set forth in Section 1 of this Agreement are true and correct with the same force and effect as though expressly made on and as of such date; and</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rPr>
        <w:t>the Company has complied with all the agreements hereunder and satisfied all the conditions on its part to be performed or satisfied hereunder at or prior to such date.</w:t>
      </w:r>
    </w:p>
    <w:p>
      <w:pPr>
        <w:pStyle w:val="TextBody"/>
        <w:bidi w:val="0"/>
        <w:spacing w:lineRule="auto" w:line="288" w:before="0" w:after="240"/>
        <w:ind w:left="0" w:right="0" w:firstLine="720"/>
        <w:jc w:val="left"/>
        <w:rPr/>
      </w:pPr>
      <w:r>
        <w:rPr>
          <w:rFonts w:ascii="Times New Roman;serif" w:hAnsi="Times New Roman;serif"/>
          <w:b/>
          <w:color w:val="000000"/>
          <w:sz w:val="22"/>
        </w:rPr>
        <w:t>(i)</w:t>
      </w:r>
      <w:r>
        <w:rPr>
          <w:rFonts w:ascii="Times New Roman;serif" w:hAnsi="Times New Roman;serif"/>
          <w:b/>
          <w:i/>
          <w:color w:val="000000"/>
          <w:sz w:val="22"/>
        </w:rPr>
        <w:t>Bring-down Comfort Letters</w:t>
      </w:r>
      <w:r>
        <w:rPr>
          <w:rFonts w:ascii="Times New Roman;serif" w:hAnsi="Times New Roman;serif"/>
          <w:b w:val="false"/>
          <w:color w:val="000000"/>
          <w:sz w:val="22"/>
        </w:rPr>
        <w:t>. On each of the First Closing Date and each Option Closing Date, the Representatives shall have received from PricewaterhouseCoopers LLP, independent registered public accountants for the Company,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pStyle w:val="TextBody"/>
        <w:bidi w:val="0"/>
        <w:spacing w:lineRule="auto" w:line="288" w:before="0" w:after="240"/>
        <w:ind w:left="0" w:right="0" w:firstLine="720"/>
        <w:jc w:val="left"/>
        <w:rPr/>
      </w:pPr>
      <w:r>
        <w:rPr>
          <w:rFonts w:ascii="Times New Roman;serif" w:hAnsi="Times New Roman;serif"/>
          <w:b/>
          <w:color w:val="000000"/>
          <w:sz w:val="22"/>
        </w:rPr>
        <w:t>(j)</w:t>
      </w:r>
      <w:r>
        <w:rPr>
          <w:rFonts w:ascii="Times New Roman;serif" w:hAnsi="Times New Roman;serif"/>
          <w:b/>
          <w:i/>
          <w:color w:val="000000"/>
          <w:sz w:val="22"/>
        </w:rPr>
        <w:t>Lock-Up Agreements</w:t>
      </w:r>
      <w:r>
        <w:rPr>
          <w:rFonts w:ascii="Times New Roman;serif" w:hAnsi="Times New Roman;serif"/>
          <w:b w:val="false"/>
          <w:color w:val="000000"/>
          <w:sz w:val="22"/>
        </w:rPr>
        <w:t>. On or prior to the date hereof, the Company shall have furnished to the Representatives an agreement in the form of Exhibit A hereto from each director, executive officer and affiliated stockholder of the Company, and each such agreement shall be in full force and effect on each of the First Closing Date and each Option Closing Date.</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42925"/>
                <wp:effectExtent l="0" t="0" r="0" b="0"/>
                <wp:wrapNone/>
                <wp:docPr id="34" name="Frame3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color w:val="000000"/>
          <w:sz w:val="22"/>
        </w:rPr>
        <w:t>(k)</w:t>
      </w:r>
      <w:r>
        <w:rPr>
          <w:rFonts w:ascii="Times New Roman;serif" w:hAnsi="Times New Roman;serif"/>
          <w:b/>
          <w:i/>
          <w:color w:val="000000"/>
          <w:sz w:val="22"/>
        </w:rPr>
        <w:t>Rule 462(b) Registration Statement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w:t>
      </w:r>
    </w:p>
    <w:p>
      <w:pPr>
        <w:pStyle w:val="TextBody"/>
        <w:bidi w:val="0"/>
        <w:spacing w:lineRule="auto" w:line="288" w:before="0" w:after="240"/>
        <w:ind w:left="0" w:right="0" w:firstLine="720"/>
        <w:jc w:val="left"/>
        <w:rPr/>
      </w:pPr>
      <w:r>
        <w:rPr>
          <w:rFonts w:ascii="Times New Roman;serif" w:hAnsi="Times New Roman;serif"/>
          <w:b/>
          <w:color w:val="000000"/>
          <w:sz w:val="22"/>
        </w:rPr>
        <w:t>(l)</w:t>
      </w:r>
      <w:r>
        <w:rPr>
          <w:rFonts w:ascii="Times New Roman;serif" w:hAnsi="Times New Roman;serif"/>
          <w:b/>
          <w:i/>
          <w:color w:val="000000"/>
          <w:sz w:val="22"/>
        </w:rPr>
        <w:t>Approval of Listing</w:t>
      </w:r>
      <w:r>
        <w:rPr>
          <w:rFonts w:ascii="Times New Roman;serif" w:hAnsi="Times New Roman;serif"/>
          <w:b w:val="false"/>
          <w:color w:val="000000"/>
          <w:sz w:val="22"/>
        </w:rPr>
        <w:t>. At the First Closing Date, the Offered Shares and the Warrant Shares shall have been approved for listing on the Nasdaq, subject only to official notice of issuance.</w:t>
      </w:r>
    </w:p>
    <w:p>
      <w:pPr>
        <w:pStyle w:val="TextBody"/>
        <w:bidi w:val="0"/>
        <w:spacing w:lineRule="auto" w:line="288" w:before="0" w:after="240"/>
        <w:ind w:left="0" w:right="0" w:firstLine="720"/>
        <w:jc w:val="left"/>
        <w:rPr/>
      </w:pPr>
      <w:r>
        <w:rPr>
          <w:rFonts w:ascii="Times New Roman;serif" w:hAnsi="Times New Roman;serif"/>
          <w:b/>
          <w:color w:val="000000"/>
          <w:sz w:val="22"/>
        </w:rPr>
        <w:t>(m)</w:t>
      </w:r>
      <w:r>
        <w:rPr>
          <w:rFonts w:ascii="Times New Roman;serif" w:hAnsi="Times New Roman;serif"/>
          <w:b/>
          <w:i/>
          <w:color w:val="000000"/>
          <w:sz w:val="22"/>
        </w:rPr>
        <w:t>CFO Certificate</w:t>
      </w:r>
      <w:r>
        <w:rPr>
          <w:rFonts w:ascii="Times New Roman;serif" w:hAnsi="Times New Roman;serif"/>
          <w:b w:val="false"/>
          <w:color w:val="000000"/>
          <w:sz w:val="22"/>
        </w:rPr>
        <w:t>. On the date of this Agreement and on the First Closing Date or the applicable Option Closing Date, as the case may be, the Company shall have furnished to the Representatives a certificate, dated the respective dates of delivery thereof and addressed to the Underwriters, of its Chief Financial Officer with respect to certain financial data contained in the Time of Sale Prospectus and the Prospectus, providing “management comfort” with respect to such information, in form and substance reasonably satisfactory to the Representatives.</w:t>
      </w:r>
    </w:p>
    <w:p>
      <w:pPr>
        <w:pStyle w:val="TextBody"/>
        <w:bidi w:val="0"/>
        <w:spacing w:lineRule="auto" w:line="288" w:before="0" w:after="240"/>
        <w:ind w:left="0" w:right="0" w:firstLine="720"/>
        <w:jc w:val="left"/>
        <w:rPr/>
      </w:pPr>
      <w:r>
        <w:rPr>
          <w:rFonts w:ascii="Times New Roman;serif" w:hAnsi="Times New Roman;serif"/>
          <w:b/>
          <w:color w:val="000000"/>
          <w:sz w:val="22"/>
        </w:rPr>
        <w:t>(n)</w:t>
      </w:r>
      <w:r>
        <w:rPr>
          <w:rFonts w:ascii="Times New Roman;serif" w:hAnsi="Times New Roman;serif"/>
          <w:b/>
          <w:i/>
          <w:color w:val="000000"/>
          <w:sz w:val="22"/>
        </w:rPr>
        <w:t>Additional Documents</w:t>
      </w:r>
      <w:r>
        <w:rPr>
          <w:rFonts w:ascii="Times New Roman;serif" w:hAnsi="Times New Roman;serif"/>
          <w:b w:val="false"/>
          <w:color w:val="000000"/>
          <w:sz w:val="22"/>
        </w:rPr>
        <w:t>. On or before each of the First Closing Date and each Option Closing Date, the Representatives and counsel for the 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Representatives and counsel for the Underwriters.</w:t>
      </w:r>
    </w:p>
    <w:p>
      <w:pPr>
        <w:pStyle w:val="TextBody"/>
        <w:bidi w:val="0"/>
        <w:spacing w:lineRule="auto" w:line="288" w:before="0" w:after="240"/>
        <w:ind w:left="0" w:right="0" w:firstLine="720"/>
        <w:jc w:val="left"/>
        <w:rPr/>
      </w:pPr>
      <w:r>
        <w:rPr>
          <w:rFonts w:ascii="Times New Roman;serif" w:hAnsi="Times New Roman;serif"/>
          <w:b/>
          <w:color w:val="000000"/>
          <w:sz w:val="22"/>
        </w:rPr>
        <w:t>(o)</w:t>
      </w:r>
      <w:r>
        <w:rPr>
          <w:rFonts w:ascii="Times New Roman;serif" w:hAnsi="Times New Roman;serif"/>
          <w:b/>
          <w:i/>
          <w:color w:val="000000"/>
          <w:sz w:val="22"/>
        </w:rPr>
        <w:t>Form of Pre-Funded Warrant.</w:t>
      </w:r>
      <w:r>
        <w:rPr>
          <w:color w:val="000000"/>
        </w:rPr>
        <w:t xml:space="preserve"> </w:t>
      </w:r>
      <w:r>
        <w:rPr>
          <w:rFonts w:ascii="Times New Roman;serif" w:hAnsi="Times New Roman;serif"/>
          <w:b w:val="false"/>
          <w:color w:val="000000"/>
          <w:sz w:val="22"/>
        </w:rPr>
        <w:t>The Representatives shall have received a form of the Pre-Funded Warrant, in form and substance reasonably satisfactory to the Representatives.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If any condition specified in this Section 6 is not satisfied when and as required to be satisfied (unless waived in writing by the Representatives), this Agreement may be terminated by the Representatives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 </w:t>
      </w:r>
    </w:p>
    <w:p>
      <w:pPr>
        <w:pStyle w:val="TextBody"/>
        <w:bidi w:val="0"/>
        <w:spacing w:lineRule="auto" w:line="288" w:before="0" w:after="240"/>
        <w:ind w:left="0" w:right="0" w:firstLine="1440"/>
        <w:jc w:val="left"/>
        <w:rPr/>
      </w:pPr>
      <w:r>
        <w:rPr>
          <w:rFonts w:ascii="Times New Roman;serif" w:hAnsi="Times New Roman;serif"/>
          <w:b/>
          <w:color w:val="000000"/>
          <w:sz w:val="22"/>
        </w:rPr>
        <w:t>Section 7.</w:t>
      </w:r>
      <w:r>
        <w:rPr>
          <w:rFonts w:ascii="Times New Roman;serif" w:hAnsi="Times New Roman;serif"/>
          <w:b/>
          <w:i/>
          <w:color w:val="000000"/>
          <w:sz w:val="22"/>
        </w:rPr>
        <w:t>Reimbursement of Underwriters’ Expenses</w:t>
      </w:r>
      <w:r>
        <w:rPr>
          <w:rFonts w:ascii="Times New Roman;serif" w:hAnsi="Times New Roman;serif"/>
          <w:b w:val="false"/>
          <w:color w:val="000000"/>
          <w:sz w:val="22"/>
        </w:rPr>
        <w:t xml:space="preserve">. If this Agreement is terminated by the Representatives pursuant to Section 6, Section 11 or Section 12,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Securities, including, but not limited to, reasonable and documented fees and disbursements of counsel, printing expenses, travel expenses, postage, facsimile and telephone charges. For the avoidance of doubt, it is </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42925"/>
                <wp:effectExtent l="0" t="0" r="0" b="0"/>
                <wp:wrapNone/>
                <wp:docPr id="35" name="Frame3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understood that the Company will not pay or reimburse any costs, fees or expenses incurred by any Underwriter that defaults on its obligations to purchase the Offered Securities.</w:t>
      </w:r>
    </w:p>
    <w:p>
      <w:pPr>
        <w:pStyle w:val="TextBody"/>
        <w:bidi w:val="0"/>
        <w:spacing w:lineRule="auto" w:line="288" w:before="0" w:after="240"/>
        <w:ind w:left="0" w:right="0" w:firstLine="1440"/>
        <w:jc w:val="left"/>
        <w:rPr/>
      </w:pPr>
      <w:r>
        <w:rPr>
          <w:rFonts w:ascii="Times New Roman;serif" w:hAnsi="Times New Roman;serif"/>
          <w:b/>
          <w:color w:val="000000"/>
          <w:sz w:val="22"/>
        </w:rPr>
        <w:t>Section 8.</w:t>
      </w:r>
      <w:r>
        <w:rPr>
          <w:rFonts w:ascii="Times New Roman;serif" w:hAnsi="Times New Roman;serif"/>
          <w:b/>
          <w:i/>
          <w:color w:val="000000"/>
          <w:sz w:val="22"/>
        </w:rPr>
        <w:t>Effectiveness of this Agreement</w:t>
      </w:r>
      <w:r>
        <w:rPr>
          <w:rFonts w:ascii="Times New Roman;serif" w:hAnsi="Times New Roman;serif"/>
          <w:b w:val="false"/>
          <w:color w:val="000000"/>
          <w:sz w:val="22"/>
        </w:rPr>
        <w:t xml:space="preserve">. This Agreement shall become effective upon the execution and delivery hereof by the parties hereto. </w:t>
      </w:r>
    </w:p>
    <w:p>
      <w:pPr>
        <w:pStyle w:val="TextBody"/>
        <w:bidi w:val="0"/>
        <w:spacing w:lineRule="auto" w:line="288" w:before="0" w:after="240"/>
        <w:ind w:left="0" w:right="0" w:firstLine="1440"/>
        <w:jc w:val="left"/>
        <w:rPr/>
      </w:pPr>
      <w:r>
        <w:rPr>
          <w:rFonts w:ascii="Times New Roman;serif" w:hAnsi="Times New Roman;serif"/>
          <w:b/>
          <w:color w:val="000000"/>
          <w:sz w:val="22"/>
        </w:rPr>
        <w:t>Section 9.</w:t>
      </w:r>
      <w:r>
        <w:rPr>
          <w:rFonts w:ascii="Times New Roman;serif" w:hAnsi="Times New Roman;serif"/>
          <w:b/>
          <w:i/>
          <w:color w:val="000000"/>
          <w:sz w:val="22"/>
        </w:rPr>
        <w:t>Indemnification.</w:t>
      </w:r>
    </w:p>
    <w:p>
      <w:pPr>
        <w:pStyle w:val="TextBody"/>
        <w:bidi w:val="0"/>
        <w:spacing w:lineRule="auto" w:line="288" w:before="0" w:after="240"/>
        <w:ind w:left="0" w:right="0" w:firstLine="720"/>
        <w:jc w:val="left"/>
        <w:rPr/>
      </w:pPr>
      <w:r>
        <w:rPr>
          <w:rFonts w:ascii="Times New Roman;serif" w:hAnsi="Times New Roman;serif"/>
          <w:b/>
          <w:color w:val="000000"/>
          <w:sz w:val="22"/>
        </w:rPr>
        <w:t>(a)</w:t>
      </w:r>
      <w:r>
        <w:rPr>
          <w:rFonts w:ascii="Times New Roman;serif" w:hAnsi="Times New Roman;serif"/>
          <w:b/>
          <w:i/>
          <w:color w:val="000000"/>
          <w:sz w:val="22"/>
        </w:rPr>
        <w:t>Indemnification of the Underwriters</w:t>
      </w:r>
      <w:r>
        <w:rPr>
          <w:rFonts w:ascii="Times New Roman;serif" w:hAnsi="Times New Roman;serif"/>
          <w:b w:val="false"/>
          <w:color w:val="000000"/>
          <w:sz w:val="22"/>
        </w:rPr>
        <w:t>. The Company agrees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U.S.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the Base Prospectus, the Time of Sale Prospectus, any Marketing Material, any Written Testing-the-Waters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or (B) the violation of any laws or regulations of foreign jurisdictions where Offered Securities have been offered or sold; and to reimburse each Underwriter and each such affiliate, director, officer, employee, agent and controlling person for any and all reasonable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the Base Prospectus, the Time of Sale Prospectus, any Marketing Material, any Written Testing-the-Waters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pStyle w:val="TextBody"/>
        <w:bidi w:val="0"/>
        <w:spacing w:lineRule="auto" w:line="288" w:before="0" w:after="240"/>
        <w:ind w:left="0" w:right="0" w:firstLine="720"/>
        <w:jc w:val="left"/>
        <w:rPr/>
      </w:pPr>
      <w:r>
        <w:rPr>
          <w:rFonts w:ascii="Times New Roman;serif" w:hAnsi="Times New Roman;serif"/>
          <w:b/>
          <w:color w:val="000000"/>
          <w:sz w:val="22"/>
        </w:rPr>
        <w:t>(b)</w:t>
      </w:r>
      <w:r>
        <w:rPr>
          <w:rFonts w:ascii="Times New Roman;serif" w:hAnsi="Times New Roman;serif"/>
          <w:b/>
          <w:i/>
          <w:color w:val="000000"/>
          <w:sz w:val="22"/>
        </w:rPr>
        <w:t>Indemnification of the Company, its Directors and Officers</w:t>
      </w:r>
      <w:r>
        <w:rPr>
          <w:rFonts w:ascii="Times New Roman;serif" w:hAnsi="Times New Roman;serif"/>
          <w:b w:val="false"/>
          <w:color w:val="000000"/>
          <w:sz w:val="22"/>
        </w:rPr>
        <w:t xml:space="preserve">. Each Underwriter agrees, severally and not jointly, to indemnify and hold harmless the Company, each of its directors, each of its officers who signed the Registration Statement, and each person, if any, who controls the Company within </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42925"/>
                <wp:effectExtent l="0" t="0" r="0" b="0"/>
                <wp:wrapNone/>
                <wp:docPr id="36" name="Frame3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meaning of the Securities Act or the Exchange Act, against any loss, claim, damage, liability or expense, as incurred, to which the Company, or any such director, officer, or controlling person may become subject, under the Securities Act, the Exchange Act, or other U.S.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the Base Prospectus, the Time of Sale Prospectus, any Written Testing-the-Waters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the Base Prospectus, the Time of Sale Prospectus, such Written Testing-the-Waters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the Base Prospectus, the Time of Sale Prospectus, any Written Testing-the-Waters Communication or the Prospectus (or any amendment or supplement to the foregoing) are the statements set forth in the first and second sentences of the third paragraph, the first sentence of the fourth paragraph, the first and second sentence of the first paragraph under the caption “Commission and Expenses,” the first and third sentences under the caption “Stabilization,” the second and third paragraphs under the caption “Stabilization,” the second and fifth sentences of the fourth paragraph under the caption “Stabilization,” and the sixth paragraph under the caption “Stabilization,” in each case under the caption “Underwriting” in the Preliminary Prospectus and the Prospectus. The indemnity agreement set forth in this Section 9(b) shall be in addition to any liabilities that each Underwriter may otherwise have.</w:t>
      </w:r>
    </w:p>
    <w:p>
      <w:pPr>
        <w:pStyle w:val="TextBody"/>
        <w:bidi w:val="0"/>
        <w:spacing w:lineRule="auto" w:line="288" w:before="0" w:after="240"/>
        <w:ind w:left="0" w:right="0" w:firstLine="720"/>
        <w:jc w:val="left"/>
        <w:rPr/>
      </w:pPr>
      <w:r>
        <w:rPr>
          <w:rFonts w:ascii="Times New Roman;serif" w:hAnsi="Times New Roman;serif"/>
          <w:b/>
          <w:color w:val="000000"/>
          <w:sz w:val="22"/>
        </w:rPr>
        <w:t>(c)</w:t>
      </w:r>
      <w:r>
        <w:rPr>
          <w:rFonts w:ascii="Times New Roman;serif" w:hAnsi="Times New Roman;serif"/>
          <w:b/>
          <w:i/>
          <w:color w:val="000000"/>
          <w:sz w:val="22"/>
        </w:rPr>
        <w:t>Notifications and Other Indemnification Procedures</w:t>
      </w:r>
      <w:r>
        <w:rPr>
          <w:rFonts w:ascii="Times New Roman;serif" w:hAnsi="Times New Roman;serif"/>
          <w:b w:val="false"/>
          <w:color w:val="000000"/>
          <w:sz w:val="22"/>
        </w:rPr>
        <w:t xml:space="preserve">. 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that if the defendants in any such action include both the indemnified party and the indemnifying party and the indemnified </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42925"/>
                <wp:effectExtent l="0" t="0" r="0" b="0"/>
                <wp:wrapNone/>
                <wp:docPr id="37" name="Frame3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lineRule="auto" w:line="288" w:before="0" w:after="240"/>
        <w:ind w:left="0" w:right="0" w:firstLine="720"/>
        <w:jc w:val="left"/>
        <w:rPr/>
      </w:pPr>
      <w:r>
        <w:rPr>
          <w:rFonts w:ascii="Times New Roman;serif" w:hAnsi="Times New Roman;serif"/>
          <w:b/>
          <w:color w:val="000000"/>
          <w:sz w:val="22"/>
        </w:rPr>
        <w:t>(d)</w:t>
      </w:r>
      <w:r>
        <w:rPr>
          <w:rFonts w:ascii="Times New Roman;serif" w:hAnsi="Times New Roman;serif"/>
          <w:b/>
          <w:i/>
          <w:color w:val="000000"/>
          <w:sz w:val="22"/>
        </w:rPr>
        <w:t>Settlements</w:t>
      </w:r>
      <w:r>
        <w:rPr>
          <w:rFonts w:ascii="Times New Roman;serif" w:hAnsi="Times New Roman;serif"/>
          <w:b w:val="false"/>
          <w:color w:val="000000"/>
          <w:sz w:val="22"/>
        </w:rPr>
        <w:t xml:space="preserve">. 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 </w:t>
      </w:r>
    </w:p>
    <w:p>
      <w:pPr>
        <w:pStyle w:val="TextBody"/>
        <w:bidi w:val="0"/>
        <w:spacing w:lineRule="auto" w:line="288" w:before="0" w:after="240"/>
        <w:ind w:left="0" w:right="0" w:firstLine="720"/>
        <w:jc w:val="left"/>
        <w:rPr/>
      </w:pPr>
      <w:r>
        <w:rPr>
          <w:rFonts w:ascii="Times New Roman;serif" w:hAnsi="Times New Roman;serif"/>
          <w:b/>
          <w:color w:val="000000"/>
          <w:sz w:val="22"/>
        </w:rPr>
        <w:t>(e)</w:t>
      </w:r>
      <w:r>
        <w:rPr>
          <w:rFonts w:ascii="Times New Roman;serif" w:hAnsi="Times New Roman;serif"/>
          <w:b/>
          <w:i/>
          <w:color w:val="000000"/>
          <w:sz w:val="22"/>
        </w:rPr>
        <w:t xml:space="preserve">Transfer Taxes. </w:t>
      </w:r>
      <w:r>
        <w:rPr>
          <w:rFonts w:ascii="Times New Roman;serif" w:hAnsi="Times New Roman;serif"/>
          <w:b w:val="false"/>
          <w:color w:val="000000"/>
          <w:sz w:val="22"/>
        </w:rPr>
        <w:t>The Company will indemnify and hold harmless the Underwriters and/or its agents against any Transfer Taxes, including any interest and penalties with respect thereto, incurred in connection with (i) the creation, allotment and issuance of the Offered Shares and the Pre-Funded Warrants by the Company; (ii) the delivery of the Offered Shares and the Pre-Funded Warrants by the Company to or for the account of the Underwriters; (iii) the initial sale and delivery (including any agreement for sale or delivery) by the Underwriters of the Offered Shares and the Pre-Funded Warrants to purchasers thereof, and (iv) the execution and delivery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42925"/>
                <wp:effectExtent l="0" t="0" r="0" b="0"/>
                <wp:wrapNone/>
                <wp:docPr id="38" name="Frame3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color w:val="000000"/>
          <w:sz w:val="22"/>
        </w:rPr>
        <w:t>Section 10.</w:t>
      </w:r>
      <w:r>
        <w:rPr>
          <w:rFonts w:ascii="Times New Roman;serif" w:hAnsi="Times New Roman;serif"/>
          <w:b/>
          <w:i/>
          <w:color w:val="000000"/>
          <w:sz w:val="22"/>
        </w:rPr>
        <w:t>Contribution</w:t>
      </w:r>
      <w:r>
        <w:rPr>
          <w:rFonts w:ascii="Times New Roman;serif" w:hAnsi="Times New Roman;serif"/>
          <w:b w:val="false"/>
          <w:color w:val="000000"/>
          <w:sz w:val="22"/>
        </w:rPr>
        <w:t>. If the indemnification provided for in Section 9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Securities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Securities pursuant to this Agreement shall be deemed to be in the same respective proportions as the total proceeds from the offering of the Offered Securities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that no additional notice shall be required with respect to any action for which notice has been given under Section 9(c) for purposes of indemnification.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Notwithstanding the provisions of this Section 10,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serif" w:hAnsi="Times New Roman;serif"/>
          <w:b w:val="false"/>
          <w:color w:val="000000"/>
          <w:sz w:val="22"/>
          <w:u w:val="single"/>
        </w:rPr>
        <w:t>Schedule A</w:t>
      </w:r>
      <w:r>
        <w:rPr>
          <w:rFonts w:ascii="Times New Roman;serif" w:hAnsi="Times New Roman;serif"/>
          <w:b w:val="false"/>
          <w:color w:val="000000"/>
          <w:sz w:val="22"/>
        </w:rPr>
        <w:t xml:space="preserve">.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42925"/>
                <wp:effectExtent l="0" t="0" r="0" b="0"/>
                <wp:wrapNone/>
                <wp:docPr id="39" name="Frame3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lineRule="auto" w:line="288" w:before="0" w:after="240"/>
        <w:ind w:left="0" w:right="0" w:firstLine="1440"/>
        <w:jc w:val="left"/>
        <w:rPr/>
      </w:pPr>
      <w:r>
        <w:rPr>
          <w:rFonts w:ascii="Times New Roman;serif" w:hAnsi="Times New Roman;serif"/>
          <w:b/>
          <w:color w:val="000000"/>
          <w:sz w:val="22"/>
        </w:rPr>
        <w:t>Section 11.</w:t>
      </w:r>
      <w:r>
        <w:rPr>
          <w:rFonts w:ascii="Times New Roman;serif" w:hAnsi="Times New Roman;serif"/>
          <w:b/>
          <w:i/>
          <w:color w:val="000000"/>
          <w:sz w:val="22"/>
        </w:rPr>
        <w:t>Default of One or More of the Several Underwriters</w:t>
      </w:r>
      <w:r>
        <w:rPr>
          <w:rFonts w:ascii="Times New Roman;serif" w:hAnsi="Times New Roman;serif"/>
          <w:b w:val="false"/>
          <w:color w:val="000000"/>
          <w:sz w:val="22"/>
        </w:rPr>
        <w:t>. If, on the First Closing Date or any Option Closing Date any one or more of the several Underwriters shall fail or refuse to purchase Offered Securities that it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Representatives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Shares and Pre-Funded Warrants set forth opposite their respective names on Schedule A bears to the aggregate number of Firm Shares and Pre-Funded Warrants set forth opposite the names of all such non-defaulting Underwriters, or in such other proportions as may be specified by the Representatives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Representatives and the Company for the purchase of such Offered Securities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pStyle w:val="TextBody"/>
        <w:bidi w:val="0"/>
        <w:spacing w:lineRule="auto" w:line="288" w:before="0" w:after="240"/>
        <w:ind w:left="0" w:right="0" w:firstLine="720"/>
        <w:jc w:val="left"/>
        <w:rPr/>
      </w:pPr>
      <w:r>
        <w:rPr>
          <w:rFonts w:ascii="Times New Roman;serif" w:hAnsi="Times New Roman;serif"/>
          <w:b w:val="false"/>
          <w:color w:val="000000"/>
          <w:sz w:val="22"/>
        </w:rPr>
        <w:t>As used in this Agreement, the term “</w:t>
      </w:r>
      <w:r>
        <w:rPr>
          <w:rFonts w:ascii="Times New Roman;serif" w:hAnsi="Times New Roman;serif"/>
          <w:b/>
          <w:color w:val="000000"/>
          <w:sz w:val="22"/>
        </w:rPr>
        <w:t>Underwriter</w:t>
      </w:r>
      <w:r>
        <w:rPr>
          <w:color w:val="000000"/>
        </w:rPr>
        <w:t xml:space="preserve">” </w:t>
      </w:r>
      <w:r>
        <w:rPr>
          <w:rFonts w:ascii="Times New Roman;serif" w:hAnsi="Times New Roman;serif"/>
          <w:b w:val="false"/>
          <w:color w:val="000000"/>
          <w:sz w:val="22"/>
        </w:rPr>
        <w:t>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pStyle w:val="TextBody"/>
        <w:bidi w:val="0"/>
        <w:spacing w:lineRule="auto" w:line="288" w:before="0" w:after="240"/>
        <w:ind w:left="0" w:right="0" w:firstLine="1440"/>
        <w:jc w:val="left"/>
        <w:rPr/>
      </w:pPr>
      <w:r>
        <w:rPr>
          <w:rFonts w:ascii="Times New Roman;serif" w:hAnsi="Times New Roman;serif"/>
          <w:b/>
          <w:color w:val="000000"/>
          <w:sz w:val="22"/>
        </w:rPr>
        <w:t>Section 12.</w:t>
      </w:r>
      <w:r>
        <w:rPr>
          <w:rFonts w:ascii="Times New Roman;serif" w:hAnsi="Times New Roman;serif"/>
          <w:b/>
          <w:i/>
          <w:color w:val="000000"/>
          <w:sz w:val="22"/>
        </w:rPr>
        <w:t>Termination of this Agreement</w:t>
      </w:r>
      <w:r>
        <w:rPr>
          <w:rFonts w:ascii="Times New Roman;serif" w:hAnsi="Times New Roman;serif"/>
          <w:b w:val="false"/>
          <w:color w:val="000000"/>
          <w:sz w:val="22"/>
        </w:rPr>
        <w:t xml:space="preserve">. Prior to the purchase of the Firm Shares and Pre-Funded Warrants by the Underwriters on the First Closing Date, this 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U.S. federal, New York or Cayman Islands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Securities in the manner and on the terms described in the Time of Sale Prospectus or the Prospectus or to enforce contracts </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42925"/>
                <wp:effectExtent l="0" t="0" r="0" b="0"/>
                <wp:wrapNone/>
                <wp:docPr id="40" name="Frame4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provided, however, that the provisions of Section 9 and Section 10 shall at all times be effective and shall survive such termination.</w:t>
      </w:r>
    </w:p>
    <w:p>
      <w:pPr>
        <w:pStyle w:val="TextBody"/>
        <w:bidi w:val="0"/>
        <w:spacing w:lineRule="auto" w:line="288" w:before="0" w:after="240"/>
        <w:ind w:left="0" w:right="0" w:firstLine="1440"/>
        <w:jc w:val="left"/>
        <w:rPr/>
      </w:pPr>
      <w:r>
        <w:rPr>
          <w:rFonts w:ascii="Times New Roman;serif" w:hAnsi="Times New Roman;serif"/>
          <w:b/>
          <w:color w:val="000000"/>
          <w:sz w:val="22"/>
        </w:rPr>
        <w:t>Section 13.</w:t>
      </w:r>
      <w:r>
        <w:rPr>
          <w:rFonts w:ascii="Times New Roman;serif" w:hAnsi="Times New Roman;serif"/>
          <w:b/>
          <w:i/>
          <w:color w:val="000000"/>
          <w:sz w:val="22"/>
        </w:rPr>
        <w:t>No Advisory or Fiduciary Relationship</w:t>
      </w:r>
      <w:r>
        <w:rPr>
          <w:rFonts w:ascii="Times New Roman;serif" w:hAnsi="Times New Roman;serif"/>
          <w:b w:val="false"/>
          <w:color w:val="000000"/>
          <w:sz w:val="22"/>
        </w:rPr>
        <w:t>. The Company acknowledges and agrees that (a) the purchase and sale of the 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(e) the Underwriters have not provided any legal, accounting, regulatory, investment or tax advice with respect to the offering contemplated hereby and the Company has consulted its own legal, accounting, regulatory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w:t>
      </w:r>
    </w:p>
    <w:p>
      <w:pPr>
        <w:pStyle w:val="TextBody"/>
        <w:bidi w:val="0"/>
        <w:spacing w:lineRule="auto" w:line="288" w:before="0" w:after="240"/>
        <w:ind w:left="0" w:right="0" w:firstLine="1440"/>
        <w:jc w:val="left"/>
        <w:rPr/>
      </w:pPr>
      <w:r>
        <w:rPr>
          <w:rFonts w:ascii="Times New Roman;serif" w:hAnsi="Times New Roman;serif"/>
          <w:b/>
          <w:color w:val="000000"/>
          <w:sz w:val="22"/>
        </w:rPr>
        <w:t>Section 14.</w:t>
      </w:r>
      <w:r>
        <w:rPr>
          <w:rFonts w:ascii="Times New Roman;serif" w:hAnsi="Times New Roman;serif"/>
          <w:b/>
          <w:i/>
          <w:color w:val="000000"/>
          <w:sz w:val="22"/>
        </w:rPr>
        <w:t>Representations and Indemnities to Survive Delivery</w:t>
      </w:r>
      <w:r>
        <w:rPr>
          <w:rFonts w:ascii="Times New Roman;serif" w:hAnsi="Times New Roman;serif"/>
          <w:b w:val="false"/>
          <w:color w:val="000000"/>
          <w:sz w:val="22"/>
        </w:rPr>
        <w:t>. 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Securities sold hereunder and any termination of this Agreement.</w:t>
      </w:r>
    </w:p>
    <w:p>
      <w:pPr>
        <w:pStyle w:val="TextBody"/>
        <w:bidi w:val="0"/>
        <w:spacing w:lineRule="auto" w:line="288" w:before="0" w:after="240"/>
        <w:ind w:left="0" w:right="0" w:firstLine="1440"/>
        <w:jc w:val="left"/>
        <w:rPr/>
      </w:pPr>
      <w:r>
        <w:rPr>
          <w:rFonts w:ascii="Times New Roman;serif" w:hAnsi="Times New Roman;serif"/>
          <w:b/>
          <w:color w:val="000000"/>
          <w:sz w:val="22"/>
        </w:rPr>
        <w:t>Section 15.</w:t>
      </w:r>
      <w:r>
        <w:rPr>
          <w:rFonts w:ascii="Times New Roman;serif" w:hAnsi="Times New Roman;serif"/>
          <w:b/>
          <w:i/>
          <w:color w:val="000000"/>
          <w:sz w:val="22"/>
        </w:rPr>
        <w:t>Notices</w:t>
      </w:r>
      <w:r>
        <w:rPr>
          <w:rFonts w:ascii="Times New Roman;serif" w:hAnsi="Times New Roman;serif"/>
          <w:b w:val="false"/>
          <w:color w:val="000000"/>
          <w:sz w:val="22"/>
        </w:rPr>
        <w:t>. All communications hereunder shall be in writing and shall be mailed, hand delivered or telecopied and confirmed to the parties hereto as follows:</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to the Representatives:    Jefferies LLC</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2"/>
        </w:rPr>
        <w:t>520 Madison Avenue</w:t>
        <w:br/>
        <w:t>    New York, New York 10022</w:t>
        <w:br/>
        <w:t>    Facsimile: (646) 619-4437</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Attention: General Counsel</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42925"/>
                <wp:effectExtent l="0" t="0" r="0" b="0"/>
                <wp:wrapNone/>
                <wp:docPr id="41" name="Frame4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TD Securities (USA)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 Vanderbilt Avenue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New York, New York 10017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Head of Equity Capital Markets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With a copy to CIBLegal@tdsecurities.com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with a copy to:    Cooley LLP</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2"/>
        </w:rPr>
        <w:t>55 Hudson Yards</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2"/>
        </w:rPr>
        <w:t>New York, NY 10001</w:t>
        <w:br/>
        <w:t>    Facsimile: (212) 479-6275</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Div Gupta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to the Company:    Crescent Biopharma, Inc.</w:t>
        <w:br/>
        <w:t>    300 Fifth Avenue</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2"/>
        </w:rPr>
        <w:t>Waltham, Massachusetts 02453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General Counsel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Email: barbara.bispham@crescentbiopharma.com </w:t>
      </w:r>
    </w:p>
    <w:p>
      <w:pPr>
        <w:pStyle w:val="TextBody"/>
        <w:bidi w:val="0"/>
        <w:spacing w:lineRule="auto" w:line="288" w:before="0" w:after="0"/>
        <w:ind w:left="0" w:right="0" w:hanging="2880"/>
        <w:jc w:val="left"/>
        <w:rPr>
          <w:rFonts w:ascii="Times New Roman;serif" w:hAnsi="Times New Roman;serif"/>
          <w:b w:val="false"/>
          <w:color w:val="000000"/>
          <w:sz w:val="22"/>
        </w:rPr>
      </w:pPr>
      <w:r>
        <w:rPr>
          <w:rFonts w:ascii="Times New Roman;serif" w:hAnsi="Times New Roman;serif"/>
          <w:b w:val="false"/>
          <w:color w:val="000000"/>
          <w:sz w:val="22"/>
        </w:rPr>
        <w:t>with a copy to:    Latham &amp; Watkins LLP</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2"/>
        </w:rPr>
        <w:t>200 Clarendon Street</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2"/>
        </w:rPr>
        <w:t>Boston, Massachusetts 02116</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2"/>
        </w:rPr>
        <w:t xml:space="preserve">Attention: Peter N. Handrinos; Wesley C. Holmes </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2"/>
        </w:rPr>
        <w:t xml:space="preserve">Email: Peter.Handrinos@lw.com; Wesley.Holmes@lw.com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2"/>
        </w:rPr>
        <w:t>ny party hereto may change the address for receipt of communications by giving written notice to the others.</w:t>
      </w:r>
    </w:p>
    <w:p>
      <w:pPr>
        <w:pStyle w:val="TextBody"/>
        <w:bidi w:val="0"/>
        <w:spacing w:lineRule="auto" w:line="288" w:before="0" w:after="240"/>
        <w:ind w:left="0" w:right="0" w:firstLine="1440"/>
        <w:jc w:val="left"/>
        <w:rPr/>
      </w:pPr>
      <w:r>
        <w:rPr>
          <w:rFonts w:ascii="Times New Roman;serif" w:hAnsi="Times New Roman;serif"/>
          <w:b/>
          <w:color w:val="000000"/>
          <w:sz w:val="22"/>
        </w:rPr>
        <w:t>Section 16.</w:t>
      </w:r>
      <w:r>
        <w:rPr>
          <w:rFonts w:ascii="Times New Roman;serif" w:hAnsi="Times New Roman;serif"/>
          <w:b/>
          <w:i/>
          <w:color w:val="000000"/>
          <w:sz w:val="22"/>
        </w:rPr>
        <w:t>Successors</w:t>
      </w:r>
      <w:r>
        <w:rPr>
          <w:rFonts w:ascii="Times New Roman;serif" w:hAnsi="Times New Roman;serif"/>
          <w:b w:val="false"/>
          <w:color w:val="000000"/>
          <w:sz w:val="22"/>
        </w:rPr>
        <w:t>. 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“successors” shall not include any purchaser of the Offered Securities as such from any of the Underwriters merely by reason of such purchase.</w:t>
      </w:r>
    </w:p>
    <w:p>
      <w:pPr>
        <w:pStyle w:val="TextBody"/>
        <w:bidi w:val="0"/>
        <w:spacing w:lineRule="auto" w:line="288" w:before="0" w:after="240"/>
        <w:ind w:left="0" w:right="0" w:firstLine="1440"/>
        <w:jc w:val="left"/>
        <w:rPr/>
      </w:pPr>
      <w:r>
        <w:rPr>
          <w:rFonts w:ascii="Times New Roman;serif" w:hAnsi="Times New Roman;serif"/>
          <w:b/>
          <w:color w:val="000000"/>
          <w:sz w:val="22"/>
        </w:rPr>
        <w:t>Section 17.</w:t>
      </w:r>
      <w:r>
        <w:rPr>
          <w:rFonts w:ascii="Times New Roman;serif" w:hAnsi="Times New Roman;serif"/>
          <w:b/>
          <w:i/>
          <w:color w:val="000000"/>
          <w:sz w:val="22"/>
        </w:rPr>
        <w:t>Partial Unenforceability</w:t>
      </w:r>
      <w:r>
        <w:rPr>
          <w:rFonts w:ascii="Times New Roman;serif" w:hAnsi="Times New Roman;serif"/>
          <w:b w:val="false"/>
          <w:color w:val="000000"/>
          <w:sz w:val="22"/>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lineRule="auto" w:line="288" w:before="0" w:after="240"/>
        <w:ind w:left="0" w:right="0" w:firstLine="1440"/>
        <w:jc w:val="left"/>
        <w:rPr/>
      </w:pPr>
      <w:r>
        <w:rPr>
          <w:rFonts w:ascii="Times New Roman;serif" w:hAnsi="Times New Roman;serif"/>
          <w:b/>
          <w:color w:val="000000"/>
          <w:sz w:val="22"/>
        </w:rPr>
        <w:t>Section 18.</w:t>
      </w:r>
      <w:r>
        <w:rPr>
          <w:rFonts w:ascii="Times New Roman;serif" w:hAnsi="Times New Roman;serif"/>
          <w:b/>
          <w:color w:val="000000"/>
          <w:sz w:val="22"/>
        </w:rPr>
        <w:t>Recognition of the U.S. Special Resolution Regimes.</w:t>
        <w:br/>
        <w:t>    </w:t>
        <w:br/>
        <w:t>    </w:t>
      </w:r>
      <w:r>
        <w:rPr>
          <w:rFonts w:ascii="Times New Roman;serif" w:hAnsi="Times New Roman;serif"/>
          <w:b w:val="false"/>
          <w:color w:val="000000"/>
          <w:sz w:val="22"/>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42925"/>
                <wp:effectExtent l="0" t="0" r="0" b="0"/>
                <wp:wrapNone/>
                <wp:docPr id="42" name="Frame4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br/>
        <w:br/>
        <w:t>    (b)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br/>
        <w:br/>
        <w:t>    For purposes of this Agreement, (A) “</w:t>
      </w:r>
      <w:r>
        <w:rPr>
          <w:rFonts w:ascii="Times New Roman;serif" w:hAnsi="Times New Roman;serif"/>
          <w:b/>
          <w:color w:val="000000"/>
          <w:sz w:val="22"/>
        </w:rPr>
        <w:t>BHC Act Affiliate</w:t>
      </w:r>
      <w:r>
        <w:rPr>
          <w:color w:val="000000"/>
        </w:rPr>
        <w:t xml:space="preserve">” </w:t>
      </w:r>
      <w:r>
        <w:rPr>
          <w:rFonts w:ascii="Times New Roman;serif" w:hAnsi="Times New Roman;serif"/>
          <w:b w:val="false"/>
          <w:color w:val="000000"/>
          <w:sz w:val="22"/>
        </w:rPr>
        <w:t>has the meaning assigned to the term “affiliate” in, and shall be interpreted in accordance with, 12 U.S.C. § 1841(k); (B) “</w:t>
      </w:r>
      <w:r>
        <w:rPr>
          <w:rFonts w:ascii="Times New Roman;serif" w:hAnsi="Times New Roman;serif"/>
          <w:b/>
          <w:color w:val="000000"/>
          <w:sz w:val="22"/>
        </w:rPr>
        <w:t>Covered Entity</w:t>
      </w:r>
      <w:r>
        <w:rPr>
          <w:color w:val="000000"/>
        </w:rPr>
        <w:t xml:space="preserve">” </w:t>
      </w:r>
      <w:r>
        <w:rPr>
          <w:rFonts w:ascii="Times New Roman;serif" w:hAnsi="Times New Roman;serif"/>
          <w:b w:val="false"/>
          <w:color w:val="000000"/>
          <w:sz w:val="22"/>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serif" w:hAnsi="Times New Roman;serif"/>
          <w:b/>
          <w:color w:val="000000"/>
          <w:sz w:val="22"/>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 and (D) “U</w:t>
      </w:r>
      <w:r>
        <w:rPr>
          <w:rFonts w:ascii="Times New Roman;serif" w:hAnsi="Times New Roman;serif"/>
          <w:b/>
          <w:color w:val="000000"/>
          <w:sz w:val="22"/>
        </w:rPr>
        <w:t>.S. Special Resolution Regime</w:t>
      </w:r>
      <w:r>
        <w:rPr>
          <w:color w:val="000000"/>
        </w:rPr>
        <w:t xml:space="preserve">” </w:t>
      </w:r>
      <w:r>
        <w:rPr>
          <w:rFonts w:ascii="Times New Roman;serif" w:hAnsi="Times New Roman;serif"/>
          <w:b w:val="false"/>
          <w:color w:val="000000"/>
          <w:sz w:val="22"/>
        </w:rPr>
        <w:t>means each of (i) the Federal Deposit Insurance Act and the regulations promulgated thereunder and (ii) Title II of the Dodd-Frank Wall Street Reform and Consumer Protection Act and the regulations promulgated thereunder.</w:t>
      </w:r>
    </w:p>
    <w:p>
      <w:pPr>
        <w:pStyle w:val="TextBody"/>
        <w:bidi w:val="0"/>
        <w:spacing w:lineRule="auto" w:line="288" w:before="0" w:after="240"/>
        <w:ind w:left="0" w:right="0" w:firstLine="1440"/>
        <w:jc w:val="left"/>
        <w:rPr/>
      </w:pPr>
      <w:r>
        <w:rPr>
          <w:rFonts w:ascii="Times New Roman;serif" w:hAnsi="Times New Roman;serif"/>
          <w:b/>
          <w:color w:val="000000"/>
          <w:sz w:val="22"/>
        </w:rPr>
        <w:t>Section 19.</w:t>
      </w:r>
      <w:r>
        <w:rPr>
          <w:rFonts w:ascii="Times New Roman;serif" w:hAnsi="Times New Roman;serif"/>
          <w:b/>
          <w:i/>
          <w:color w:val="000000"/>
          <w:sz w:val="22"/>
        </w:rPr>
        <w:t>Governing Law Provisions</w:t>
      </w:r>
      <w:r>
        <w:rPr>
          <w:rFonts w:ascii="Times New Roman;serif" w:hAnsi="Times New Roman;serif"/>
          <w:b w:val="false"/>
          <w:color w:val="000000"/>
          <w:sz w:val="22"/>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serif" w:hAnsi="Times New Roman;serif"/>
          <w:b/>
          <w:color w:val="000000"/>
          <w:sz w:val="22"/>
        </w:rPr>
        <w:t>Related Proceedings</w:t>
      </w:r>
      <w:r>
        <w:rPr>
          <w:color w:val="000000"/>
        </w:rPr>
        <w:t>”</w:t>
      </w:r>
      <w:r>
        <w:rPr>
          <w:rFonts w:ascii="Times New Roman;serif" w:hAnsi="Times New Roman;serif"/>
          <w:b w:val="false"/>
          <w:color w:val="000000"/>
          <w:sz w:val="22"/>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serif" w:hAnsi="Times New Roman;serif"/>
          <w:b/>
          <w:color w:val="000000"/>
          <w:sz w:val="22"/>
        </w:rPr>
        <w:t>Specified Courts</w:t>
      </w:r>
      <w:r>
        <w:rPr>
          <w:color w:val="000000"/>
        </w:rPr>
        <w:t>”</w:t>
      </w:r>
      <w:r>
        <w:rPr>
          <w:rFonts w:ascii="Times New Roman;serif" w:hAnsi="Times New Roman;serif"/>
          <w:b w:val="false"/>
          <w:color w:val="000000"/>
          <w:sz w:val="22"/>
        </w:rPr>
        <w:t>), and each party irrevocably submits to the exclusive jurisdiction (except for proceedings instituted in regard to the enforcement of a judgment of any such court (a “</w:t>
      </w:r>
      <w:r>
        <w:rPr>
          <w:rFonts w:ascii="Times New Roman;serif" w:hAnsi="Times New Roman;serif"/>
          <w:b/>
          <w:color w:val="000000"/>
          <w:sz w:val="22"/>
        </w:rPr>
        <w:t>Related Judgment</w:t>
      </w:r>
      <w:r>
        <w:rPr>
          <w:color w:val="000000"/>
        </w:rPr>
        <w:t>”</w:t>
      </w:r>
      <w:r>
        <w:rPr>
          <w:rFonts w:ascii="Times New Roman;serif" w:hAnsi="Times New Roman;serif"/>
          <w:b w:val="false"/>
          <w:color w:val="000000"/>
          <w:sz w:val="22"/>
        </w:rPr>
        <w:t xml:space="preserve">),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pStyle w:val="TextBody"/>
        <w:bidi w:val="0"/>
        <w:spacing w:lineRule="auto" w:line="288" w:before="0" w:after="240"/>
        <w:ind w:left="0" w:right="0" w:firstLine="1440"/>
        <w:jc w:val="left"/>
        <w:rPr/>
      </w:pPr>
      <w:r>
        <w:rPr>
          <w:rFonts w:ascii="Times New Roman;serif" w:hAnsi="Times New Roman;serif"/>
          <w:b/>
          <w:color w:val="000000"/>
          <w:sz w:val="22"/>
        </w:rPr>
        <w:t>Section 20.</w:t>
      </w:r>
      <w:r>
        <w:rPr>
          <w:rFonts w:ascii="Times New Roman;serif" w:hAnsi="Times New Roman;serif"/>
          <w:b/>
          <w:i/>
          <w:color w:val="000000"/>
          <w:sz w:val="22"/>
        </w:rPr>
        <w:t>Judgment Currency.</w:t>
      </w:r>
      <w:r>
        <w:rPr>
          <w:color w:val="000000"/>
        </w:rPr>
        <w:t xml:space="preserve"> </w:t>
      </w:r>
      <w:r>
        <w:rPr>
          <w:rFonts w:ascii="Times New Roman;serif" w:hAnsi="Times New Roman;serif"/>
          <w:b w:val="false"/>
          <w:color w:val="000000"/>
          <w:sz w:val="22"/>
        </w:rPr>
        <w:t xml:space="preserve">The obligations of the Company pursuant to this Agreement in respect of any sum due to any Underwriter shall, notwithstanding any judgment in a currency other than United States dollars, not be discharged until the first business day, following receipt by such Underwriter of any sum adjudged to be so due in such other currency, on which (and only to the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42925"/>
                <wp:effectExtent l="0" t="0" r="0" b="0"/>
                <wp:wrapNone/>
                <wp:docPr id="43" name="Frame4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jointly and severally indemnify such Underwriter against such loss. </w:t>
      </w:r>
    </w:p>
    <w:p>
      <w:pPr>
        <w:pStyle w:val="TextBody"/>
        <w:bidi w:val="0"/>
        <w:spacing w:lineRule="auto" w:line="288" w:before="0" w:after="240"/>
        <w:ind w:left="0" w:right="0" w:firstLine="1440"/>
        <w:jc w:val="left"/>
        <w:rPr/>
      </w:pPr>
      <w:r>
        <w:rPr>
          <w:rFonts w:ascii="Times New Roman;serif" w:hAnsi="Times New Roman;serif"/>
          <w:b/>
          <w:color w:val="000000"/>
          <w:sz w:val="22"/>
        </w:rPr>
        <w:t>Section 21.</w:t>
      </w:r>
      <w:r>
        <w:rPr>
          <w:rFonts w:ascii="Times New Roman;serif" w:hAnsi="Times New Roman;serif"/>
          <w:b/>
          <w:i/>
          <w:color w:val="000000"/>
          <w:sz w:val="22"/>
        </w:rPr>
        <w:t>Gross Up.</w:t>
      </w:r>
      <w:r>
        <w:rPr>
          <w:color w:val="000000"/>
        </w:rPr>
        <w:t xml:space="preserve"> </w:t>
      </w:r>
      <w:r>
        <w:rPr>
          <w:rFonts w:ascii="Times New Roman;serif" w:hAnsi="Times New Roman;serif"/>
          <w:b w:val="false"/>
          <w:color w:val="000000"/>
          <w:sz w:val="22"/>
        </w:rPr>
        <w:t>All payments made by the Company to the Underwriters under this Agreement, if any, will be made without withholding or deduction for or on account of any present or future taxes, duties, assessments or governmental charges of whatever nature (other than taxes on net income) imposed or levied by any jurisdiction or any political subdivision or any taxing authority thereof or therein unless the Company is or becomes required by law to withhold or deduct such taxes, duties, assessments or other governmental charges. In such event, the Company shall pay such additional amounts as will result, after such withholding or deduction, in the receipt by each Underwriter and each person controlling any Underwriter, as the case may be, of the amounts that would otherwise have been received had no withholding or deduction been made.</w:t>
      </w:r>
    </w:p>
    <w:p>
      <w:pPr>
        <w:pStyle w:val="TextBody"/>
        <w:bidi w:val="0"/>
        <w:spacing w:lineRule="auto" w:line="288" w:before="0" w:after="240"/>
        <w:ind w:left="0" w:right="0" w:firstLine="1440"/>
        <w:jc w:val="left"/>
        <w:rPr/>
      </w:pPr>
      <w:r>
        <w:rPr>
          <w:rFonts w:ascii="Times New Roman;serif" w:hAnsi="Times New Roman;serif"/>
          <w:b/>
          <w:color w:val="000000"/>
          <w:sz w:val="22"/>
        </w:rPr>
        <w:t>Section 22.</w:t>
      </w:r>
      <w:r>
        <w:rPr>
          <w:rFonts w:ascii="Times New Roman;serif" w:hAnsi="Times New Roman;serif"/>
          <w:b/>
          <w:i/>
          <w:color w:val="000000"/>
          <w:sz w:val="22"/>
        </w:rPr>
        <w:t>General Provisions</w:t>
      </w:r>
      <w:r>
        <w:rPr>
          <w:rFonts w:ascii="Times New Roman;serif" w:hAnsi="Times New Roman;serif"/>
          <w:b w:val="false"/>
          <w:color w:val="000000"/>
          <w:sz w:val="22"/>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and the Prospectus (and any amendments and supplements to the foregoing), as contemplated by the Securities Act and the Exchange Act.</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42925"/>
                <wp:effectExtent l="0" t="0" r="0" b="0"/>
                <wp:wrapNone/>
                <wp:docPr id="44" name="Frame4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CRESCENT BIOPHARMA,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Joshua Brumm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Joshua Brumm</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before="0" w:after="0"/>
        <w:jc w:val="both"/>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foregoing Underwriting Agreement is hereby confirmed and accepted by the Representatives in New York, New York as of the date first above written.</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JEFFERIES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TD SECURITIES (USA)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Acting individually and as Representatives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of the several Underwriters named in</w:t>
      </w:r>
    </w:p>
    <w:p>
      <w:pPr>
        <w:pStyle w:val="TextBody"/>
        <w:bidi w:val="0"/>
        <w:spacing w:lineRule="auto" w:line="288" w:before="0" w:after="0"/>
        <w:jc w:val="left"/>
        <w:rPr/>
      </w:pPr>
      <w:r>
        <w:rPr>
          <w:rFonts w:ascii="Times New Roman;serif" w:hAnsi="Times New Roman;serif"/>
          <w:b w:val="false"/>
          <w:color w:val="000000"/>
          <w:sz w:val="22"/>
        </w:rPr>
        <w:t xml:space="preserve">the attached </w:t>
      </w:r>
      <w:r>
        <w:rPr>
          <w:rFonts w:ascii="Times New Roman;serif" w:hAnsi="Times New Roman;serif"/>
          <w:b w:val="false"/>
          <w:color w:val="000000"/>
          <w:sz w:val="22"/>
          <w:u w:val="single"/>
        </w:rPr>
        <w:t>Schedule A</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JEFFERIES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Matthew Kim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Matthew Kim</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Director, Global Head of Biotechnology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TD SECURITIES (USA)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Mariel Healy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/s/ Mariel Healy</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[Signature Page to Underwriting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[Signature Page to Underwriting Agreement]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Schedule A</w:t>
      </w:r>
    </w:p>
    <w:p>
      <w:pPr>
        <w:pStyle w:val="TextBody"/>
        <w:bidi w:val="0"/>
        <w:spacing w:before="0" w:after="0"/>
        <w:jc w:val="right"/>
        <w:rPr/>
      </w:pPr>
      <w:r>
        <w:rPr/>
      </w:r>
    </w:p>
    <w:p>
      <w:pPr>
        <w:pStyle w:val="TextBody"/>
        <w:bidi w:val="0"/>
        <w:spacing w:before="0" w:after="0"/>
        <w:jc w:val="center"/>
        <w:rPr/>
      </w:pPr>
      <w:r>
        <w:rPr/>
      </w:r>
    </w:p>
    <w:tbl>
      <w:tblPr>
        <w:tblW w:w="7461" w:type="dxa"/>
        <w:jc w:val="left"/>
        <w:tblInd w:w="0" w:type="dxa"/>
        <w:tblLayout w:type="fixed"/>
        <w:tblCellMar>
          <w:top w:w="28" w:type="dxa"/>
          <w:left w:w="28" w:type="dxa"/>
          <w:bottom w:w="28" w:type="dxa"/>
          <w:right w:w="28" w:type="dxa"/>
        </w:tblCellMar>
      </w:tblPr>
      <w:tblGrid>
        <w:gridCol w:w="1027"/>
        <w:gridCol w:w="903"/>
        <w:gridCol w:w="904"/>
        <w:gridCol w:w="109"/>
        <w:gridCol w:w="109"/>
        <w:gridCol w:w="109"/>
        <w:gridCol w:w="554"/>
        <w:gridCol w:w="554"/>
        <w:gridCol w:w="556"/>
        <w:gridCol w:w="754"/>
        <w:gridCol w:w="754"/>
        <w:gridCol w:w="756"/>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76" w:before="0" w:after="54"/>
              <w:jc w:val="left"/>
              <w:rPr>
                <w:rFonts w:ascii="Times New Roman;serif" w:hAnsi="Times New Roman;serif"/>
                <w:b/>
                <w:color w:val="000000"/>
                <w:sz w:val="22"/>
              </w:rPr>
            </w:pPr>
            <w:r>
              <w:rPr>
                <w:rFonts w:ascii="Times New Roman;serif" w:hAnsi="Times New Roman;serif"/>
                <w:b/>
                <w:color w:val="000000"/>
                <w:sz w:val="22"/>
              </w:rPr>
              <w:t>Underwriters</w:t>
            </w:r>
          </w:p>
        </w:tc>
        <w:tc>
          <w:tcPr>
            <w:tcW w:w="327" w:type="dxa"/>
            <w:gridSpan w:val="3"/>
            <w:tcBorders/>
            <w:tcMar>
              <w:top w:w="0" w:type="dxa"/>
              <w:left w:w="0" w:type="dxa"/>
              <w:bottom w:w="0" w:type="dxa"/>
              <w:right w:w="0" w:type="dxa"/>
            </w:tcMar>
            <w:vAlign w:val="center"/>
          </w:tcPr>
          <w:p>
            <w:pPr>
              <w:pStyle w:val="TableContents"/>
              <w:bidi w:val="0"/>
              <w:spacing w:before="18" w:after="54"/>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76" w:before="18" w:after="283"/>
              <w:jc w:val="left"/>
              <w:rPr>
                <w:rFonts w:ascii="Times New Roman;serif" w:hAnsi="Times New Roman;serif"/>
                <w:b/>
                <w:color w:val="000000"/>
                <w:sz w:val="22"/>
              </w:rPr>
            </w:pPr>
            <w:r>
              <w:rPr>
                <w:rFonts w:ascii="Times New Roman;serif" w:hAnsi="Times New Roman;serif"/>
                <w:b/>
                <w:color w:val="000000"/>
                <w:sz w:val="22"/>
              </w:rPr>
              <w:t>Number of</w:t>
            </w:r>
          </w:p>
          <w:p>
            <w:pPr>
              <w:pStyle w:val="TableContents"/>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Firm Shares</w:t>
            </w:r>
          </w:p>
          <w:p>
            <w:pPr>
              <w:pStyle w:val="TableContents"/>
              <w:bidi w:val="0"/>
              <w:spacing w:lineRule="auto" w:line="276" w:before="18" w:after="283"/>
              <w:jc w:val="left"/>
              <w:rPr>
                <w:rFonts w:ascii="Times New Roman;serif" w:hAnsi="Times New Roman;serif"/>
                <w:b/>
                <w:color w:val="000000"/>
                <w:sz w:val="22"/>
              </w:rPr>
            </w:pPr>
            <w:r>
              <w:rPr>
                <w:rFonts w:ascii="Times New Roman;serif" w:hAnsi="Times New Roman;serif"/>
                <w:b/>
                <w:color w:val="000000"/>
                <w:sz w:val="22"/>
              </w:rPr>
              <w:t>to be Purchased</w:t>
            </w:r>
          </w:p>
        </w:tc>
        <w:tc>
          <w:tcPr>
            <w:tcW w:w="2264" w:type="dxa"/>
            <w:gridSpan w:val="3"/>
            <w:tcBorders/>
            <w:tcMar>
              <w:top w:w="0" w:type="dxa"/>
              <w:left w:w="0" w:type="dxa"/>
              <w:bottom w:w="0" w:type="dxa"/>
              <w:right w:w="0" w:type="dxa"/>
            </w:tcMar>
            <w:vAlign w:val="center"/>
          </w:tcPr>
          <w:p>
            <w:pPr>
              <w:pStyle w:val="TableContents"/>
              <w:bidi w:val="0"/>
              <w:spacing w:lineRule="auto" w:line="276" w:before="18" w:after="283"/>
              <w:jc w:val="left"/>
              <w:rPr>
                <w:rFonts w:ascii="Times New Roman;serif" w:hAnsi="Times New Roman;serif"/>
                <w:b/>
                <w:color w:val="000000"/>
                <w:sz w:val="22"/>
              </w:rPr>
            </w:pPr>
            <w:r>
              <w:rPr>
                <w:rFonts w:ascii="Times New Roman;serif" w:hAnsi="Times New Roman;serif"/>
                <w:b/>
                <w:color w:val="000000"/>
                <w:sz w:val="22"/>
              </w:rPr>
              <w:t>Number of</w:t>
            </w:r>
          </w:p>
          <w:p>
            <w:pPr>
              <w:pStyle w:val="TableContents"/>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Pre-Funded Warrants</w:t>
            </w:r>
          </w:p>
          <w:p>
            <w:pPr>
              <w:pStyle w:val="TableContents"/>
              <w:bidi w:val="0"/>
              <w:spacing w:lineRule="auto" w:line="276" w:before="18" w:after="283"/>
              <w:jc w:val="left"/>
              <w:rPr>
                <w:rFonts w:ascii="Times New Roman;serif" w:hAnsi="Times New Roman;serif"/>
                <w:b/>
                <w:color w:val="000000"/>
                <w:sz w:val="22"/>
              </w:rPr>
            </w:pPr>
            <w:r>
              <w:rPr>
                <w:rFonts w:ascii="Times New Roman;serif" w:hAnsi="Times New Roman;serif"/>
                <w:b/>
                <w:color w:val="000000"/>
                <w:sz w:val="22"/>
              </w:rPr>
              <w:t>to be Purchased</w:t>
            </w:r>
          </w:p>
        </w:tc>
        <w:tc>
          <w:tcPr>
            <w:tcW w:w="372" w:type="dxa"/>
            <w:gridSpan w:val="3"/>
            <w:tcBorders/>
            <w:tcMar>
              <w:top w:w="0" w:type="dxa"/>
              <w:left w:w="0" w:type="dxa"/>
              <w:bottom w:w="0" w:type="dxa"/>
              <w:right w:w="0" w:type="dxa"/>
            </w:tcMar>
            <w:vAlign w:val="center"/>
          </w:tcPr>
          <w:p>
            <w:pPr>
              <w:pStyle w:val="TableContents"/>
              <w:bidi w:val="0"/>
              <w:spacing w:before="18" w:after="283"/>
              <w:jc w:val="left"/>
              <w:rPr/>
            </w:pPr>
            <w:r>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76" w:before="18" w:after="54"/>
              <w:jc w:val="left"/>
              <w:rPr>
                <w:rFonts w:ascii="Times New Roman;serif" w:hAnsi="Times New Roman;serif"/>
                <w:b w:val="false"/>
                <w:color w:val="000000"/>
                <w:sz w:val="22"/>
              </w:rPr>
            </w:pPr>
            <w:r>
              <w:rPr>
                <w:rFonts w:ascii="Times New Roman;serif" w:hAnsi="Times New Roman;serif"/>
                <w:b w:val="false"/>
                <w:color w:val="000000"/>
                <w:sz w:val="22"/>
              </w:rPr>
              <w:t>Jefferies LLC</w:t>
            </w:r>
          </w:p>
        </w:tc>
        <w:tc>
          <w:tcPr>
            <w:tcW w:w="327" w:type="dxa"/>
            <w:gridSpan w:val="3"/>
            <w:tcBorders/>
            <w:tcMar>
              <w:top w:w="0" w:type="dxa"/>
              <w:left w:w="0" w:type="dxa"/>
              <w:bottom w:w="0" w:type="dxa"/>
              <w:right w:w="0" w:type="dxa"/>
            </w:tcMar>
            <w:vAlign w:val="center"/>
          </w:tcPr>
          <w:p>
            <w:pPr>
              <w:pStyle w:val="TableContents"/>
              <w:bidi w:val="0"/>
              <w:spacing w:before="18" w:after="54"/>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2,468,912</w:t>
            </w:r>
          </w:p>
        </w:tc>
        <w:tc>
          <w:tcPr>
            <w:tcW w:w="22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160,399</w:t>
            </w:r>
          </w:p>
        </w:tc>
        <w:tc>
          <w:tcPr>
            <w:tcW w:w="372" w:type="dxa"/>
            <w:gridSpan w:val="3"/>
            <w:tcBorders/>
            <w:tcMar>
              <w:top w:w="0" w:type="dxa"/>
              <w:left w:w="0" w:type="dxa"/>
              <w:bottom w:w="0" w:type="dxa"/>
              <w:right w:w="0" w:type="dxa"/>
            </w:tcMar>
            <w:vAlign w:val="center"/>
          </w:tcPr>
          <w:p>
            <w:pPr>
              <w:pStyle w:val="TableContents"/>
              <w:bidi w:val="0"/>
              <w:spacing w:before="18" w:after="54"/>
              <w:jc w:val="center"/>
              <w:rPr/>
            </w:pPr>
            <w:r>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76" w:before="18" w:after="54"/>
              <w:jc w:val="left"/>
              <w:rPr>
                <w:rFonts w:ascii="Times New Roman;serif" w:hAnsi="Times New Roman;serif"/>
                <w:b w:val="false"/>
                <w:color w:val="000000"/>
                <w:sz w:val="22"/>
              </w:rPr>
            </w:pPr>
            <w:r>
              <w:rPr>
                <w:rFonts w:ascii="Times New Roman;serif" w:hAnsi="Times New Roman;serif"/>
                <w:b w:val="false"/>
                <w:color w:val="000000"/>
                <w:sz w:val="22"/>
              </w:rPr>
              <w:t>TD Securities (USA) LLC</w:t>
            </w:r>
          </w:p>
        </w:tc>
        <w:tc>
          <w:tcPr>
            <w:tcW w:w="327" w:type="dxa"/>
            <w:gridSpan w:val="3"/>
            <w:tcBorders/>
            <w:tcMar>
              <w:top w:w="0" w:type="dxa"/>
              <w:left w:w="0" w:type="dxa"/>
              <w:bottom w:w="0" w:type="dxa"/>
              <w:right w:w="0" w:type="dxa"/>
            </w:tcMar>
            <w:vAlign w:val="center"/>
          </w:tcPr>
          <w:p>
            <w:pPr>
              <w:pStyle w:val="TableContents"/>
              <w:bidi w:val="0"/>
              <w:spacing w:before="18" w:after="54"/>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1,861,803</w:t>
            </w:r>
          </w:p>
        </w:tc>
        <w:tc>
          <w:tcPr>
            <w:tcW w:w="22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120,956</w:t>
            </w:r>
          </w:p>
        </w:tc>
        <w:tc>
          <w:tcPr>
            <w:tcW w:w="372" w:type="dxa"/>
            <w:gridSpan w:val="3"/>
            <w:tcBorders/>
            <w:tcMar>
              <w:top w:w="0" w:type="dxa"/>
              <w:left w:w="0" w:type="dxa"/>
              <w:bottom w:w="0" w:type="dxa"/>
              <w:right w:w="0" w:type="dxa"/>
            </w:tcMar>
            <w:vAlign w:val="center"/>
          </w:tcPr>
          <w:p>
            <w:pPr>
              <w:pStyle w:val="TableContents"/>
              <w:bidi w:val="0"/>
              <w:spacing w:before="18" w:after="54"/>
              <w:jc w:val="center"/>
              <w:rPr/>
            </w:pPr>
            <w:r>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76" w:before="18" w:after="54"/>
              <w:jc w:val="left"/>
              <w:rPr>
                <w:rFonts w:ascii="Times New Roman;serif" w:hAnsi="Times New Roman;serif"/>
                <w:b w:val="false"/>
                <w:color w:val="000000"/>
                <w:sz w:val="22"/>
              </w:rPr>
            </w:pPr>
            <w:r>
              <w:rPr>
                <w:rFonts w:ascii="Times New Roman;serif" w:hAnsi="Times New Roman;serif"/>
                <w:b w:val="false"/>
                <w:color w:val="000000"/>
                <w:sz w:val="22"/>
              </w:rPr>
              <w:t>Guggenheim Securities, LLC</w:t>
            </w:r>
          </w:p>
        </w:tc>
        <w:tc>
          <w:tcPr>
            <w:tcW w:w="327" w:type="dxa"/>
            <w:gridSpan w:val="3"/>
            <w:tcBorders/>
            <w:tcMar>
              <w:top w:w="0" w:type="dxa"/>
              <w:left w:w="0" w:type="dxa"/>
              <w:bottom w:w="0" w:type="dxa"/>
              <w:right w:w="0" w:type="dxa"/>
            </w:tcMar>
            <w:vAlign w:val="center"/>
          </w:tcPr>
          <w:p>
            <w:pPr>
              <w:pStyle w:val="TableContents"/>
              <w:bidi w:val="0"/>
              <w:spacing w:before="18" w:after="54"/>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1,578,485</w:t>
            </w:r>
          </w:p>
        </w:tc>
        <w:tc>
          <w:tcPr>
            <w:tcW w:w="22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102,549</w:t>
            </w:r>
          </w:p>
        </w:tc>
        <w:tc>
          <w:tcPr>
            <w:tcW w:w="372" w:type="dxa"/>
            <w:gridSpan w:val="3"/>
            <w:tcBorders/>
            <w:tcMar>
              <w:top w:w="0" w:type="dxa"/>
              <w:left w:w="0" w:type="dxa"/>
              <w:bottom w:w="0" w:type="dxa"/>
              <w:right w:w="0" w:type="dxa"/>
            </w:tcMar>
            <w:vAlign w:val="center"/>
          </w:tcPr>
          <w:p>
            <w:pPr>
              <w:pStyle w:val="TableContents"/>
              <w:bidi w:val="0"/>
              <w:spacing w:before="18" w:after="54"/>
              <w:jc w:val="center"/>
              <w:rPr/>
            </w:pPr>
            <w:r>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76" w:before="18" w:after="54"/>
              <w:jc w:val="left"/>
              <w:rPr>
                <w:rFonts w:ascii="Times New Roman;serif" w:hAnsi="Times New Roman;serif"/>
                <w:b w:val="false"/>
                <w:color w:val="000000"/>
                <w:sz w:val="22"/>
              </w:rPr>
            </w:pPr>
            <w:r>
              <w:rPr>
                <w:rFonts w:ascii="Times New Roman;serif" w:hAnsi="Times New Roman;serif"/>
                <w:b w:val="false"/>
                <w:color w:val="000000"/>
                <w:sz w:val="22"/>
              </w:rPr>
              <w:t xml:space="preserve">Cantor Fitzgerald &amp; Co. </w:t>
            </w:r>
          </w:p>
        </w:tc>
        <w:tc>
          <w:tcPr>
            <w:tcW w:w="327" w:type="dxa"/>
            <w:gridSpan w:val="3"/>
            <w:tcBorders/>
            <w:tcMar>
              <w:top w:w="0" w:type="dxa"/>
              <w:left w:w="0" w:type="dxa"/>
              <w:bottom w:w="0" w:type="dxa"/>
              <w:right w:w="0" w:type="dxa"/>
            </w:tcMar>
            <w:vAlign w:val="center"/>
          </w:tcPr>
          <w:p>
            <w:pPr>
              <w:pStyle w:val="TableContents"/>
              <w:bidi w:val="0"/>
              <w:spacing w:before="18" w:after="54"/>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1,538,010</w:t>
            </w:r>
          </w:p>
        </w:tc>
        <w:tc>
          <w:tcPr>
            <w:tcW w:w="22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99,921</w:t>
            </w:r>
          </w:p>
        </w:tc>
        <w:tc>
          <w:tcPr>
            <w:tcW w:w="372" w:type="dxa"/>
            <w:gridSpan w:val="3"/>
            <w:tcBorders/>
            <w:tcMar>
              <w:top w:w="0" w:type="dxa"/>
              <w:left w:w="0" w:type="dxa"/>
              <w:bottom w:w="0" w:type="dxa"/>
              <w:right w:w="0" w:type="dxa"/>
            </w:tcMar>
            <w:vAlign w:val="center"/>
          </w:tcPr>
          <w:p>
            <w:pPr>
              <w:pStyle w:val="TableContents"/>
              <w:bidi w:val="0"/>
              <w:spacing w:before="18" w:after="54"/>
              <w:jc w:val="center"/>
              <w:rPr/>
            </w:pPr>
            <w:r>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76" w:before="18" w:after="54"/>
              <w:jc w:val="left"/>
              <w:rPr>
                <w:rFonts w:ascii="Times New Roman;serif" w:hAnsi="Times New Roman;serif"/>
                <w:b w:val="false"/>
                <w:color w:val="000000"/>
                <w:sz w:val="22"/>
              </w:rPr>
            </w:pPr>
            <w:r>
              <w:rPr>
                <w:rFonts w:ascii="Times New Roman;serif" w:hAnsi="Times New Roman;serif"/>
                <w:b w:val="false"/>
                <w:color w:val="000000"/>
                <w:sz w:val="22"/>
              </w:rPr>
              <w:t xml:space="preserve">LifeSci Capital LLC </w:t>
            </w:r>
          </w:p>
        </w:tc>
        <w:tc>
          <w:tcPr>
            <w:tcW w:w="327" w:type="dxa"/>
            <w:gridSpan w:val="3"/>
            <w:tcBorders/>
            <w:tcMar>
              <w:top w:w="0" w:type="dxa"/>
              <w:left w:w="0" w:type="dxa"/>
              <w:bottom w:w="0" w:type="dxa"/>
              <w:right w:w="0" w:type="dxa"/>
            </w:tcMar>
            <w:vAlign w:val="center"/>
          </w:tcPr>
          <w:p>
            <w:pPr>
              <w:pStyle w:val="TableContents"/>
              <w:bidi w:val="0"/>
              <w:spacing w:before="18" w:after="54"/>
              <w:jc w:val="left"/>
              <w:rPr/>
            </w:pPr>
            <w:r>
              <w:rPr/>
            </w:r>
          </w:p>
        </w:tc>
        <w:tc>
          <w:tcPr>
            <w:tcW w:w="16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647,583</w:t>
            </w:r>
          </w:p>
        </w:tc>
        <w:tc>
          <w:tcPr>
            <w:tcW w:w="2264" w:type="dxa"/>
            <w:gridSpan w:val="3"/>
            <w:tcBorders/>
            <w:tcMar>
              <w:top w:w="0" w:type="dxa"/>
              <w:left w:w="0" w:type="dxa"/>
              <w:bottom w:w="0" w:type="dxa"/>
              <w:right w:w="0" w:type="dxa"/>
            </w:tcMar>
            <w:vAlign w:val="center"/>
          </w:tcPr>
          <w:p>
            <w:pPr>
              <w:pStyle w:val="TableContents"/>
              <w:bidi w:val="0"/>
              <w:spacing w:lineRule="auto" w:line="276" w:before="18" w:after="54"/>
              <w:jc w:val="center"/>
              <w:rPr>
                <w:rFonts w:ascii="Times New Roman;serif" w:hAnsi="Times New Roman;serif"/>
                <w:b w:val="false"/>
                <w:color w:val="000000"/>
                <w:sz w:val="22"/>
              </w:rPr>
            </w:pPr>
            <w:r>
              <w:rPr>
                <w:rFonts w:ascii="Times New Roman;serif" w:hAnsi="Times New Roman;serif"/>
                <w:b w:val="false"/>
                <w:color w:val="000000"/>
                <w:sz w:val="22"/>
              </w:rPr>
              <w:t>42,072</w:t>
            </w:r>
          </w:p>
        </w:tc>
        <w:tc>
          <w:tcPr>
            <w:tcW w:w="372" w:type="dxa"/>
            <w:gridSpan w:val="3"/>
            <w:tcBorders/>
            <w:tcMar>
              <w:top w:w="0" w:type="dxa"/>
              <w:left w:w="0" w:type="dxa"/>
              <w:bottom w:w="0" w:type="dxa"/>
              <w:right w:w="0" w:type="dxa"/>
            </w:tcMar>
            <w:vAlign w:val="center"/>
          </w:tcPr>
          <w:p>
            <w:pPr>
              <w:pStyle w:val="TableContents"/>
              <w:bidi w:val="0"/>
              <w:spacing w:before="18" w:after="54"/>
              <w:jc w:val="center"/>
              <w:rPr/>
            </w:pPr>
            <w:r>
              <w:rPr/>
            </w:r>
          </w:p>
        </w:tc>
      </w:tr>
      <w:tr>
        <w:trPr/>
        <w:tc>
          <w:tcPr>
            <w:tcW w:w="283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76" w:before="18" w:after="54"/>
              <w:ind w:left="0" w:right="0" w:hanging="720"/>
              <w:jc w:val="left"/>
              <w:rPr>
                <w:color w:val="000000"/>
              </w:rPr>
            </w:pPr>
            <w:r>
              <w:rPr>
                <w:color w:val="000000"/>
              </w:rPr>
              <w:t>    </w:t>
            </w:r>
            <w:r>
              <w:rPr>
                <w:rFonts w:ascii="Times New Roman;serif" w:hAnsi="Times New Roman;serif"/>
                <w:b w:val="false"/>
                <w:color w:val="000000"/>
                <w:sz w:val="22"/>
              </w:rPr>
              <w:t>Total    </w:t>
            </w:r>
          </w:p>
        </w:tc>
        <w:tc>
          <w:tcPr>
            <w:tcW w:w="327" w:type="dxa"/>
            <w:gridSpan w:val="3"/>
            <w:tcBorders/>
            <w:tcMar>
              <w:top w:w="0" w:type="dxa"/>
              <w:left w:w="0" w:type="dxa"/>
              <w:bottom w:w="0" w:type="dxa"/>
              <w:right w:w="0" w:type="dxa"/>
            </w:tcMar>
            <w:vAlign w:val="center"/>
          </w:tcPr>
          <w:p>
            <w:pPr>
              <w:pStyle w:val="TableContents"/>
              <w:bidi w:val="0"/>
              <w:spacing w:before="18" w:after="54"/>
              <w:jc w:val="left"/>
              <w:rPr/>
            </w:pPr>
            <w:r>
              <w:rPr/>
            </w:r>
          </w:p>
        </w:tc>
        <w:tc>
          <w:tcPr>
            <w:tcW w:w="1664" w:type="dxa"/>
            <w:gridSpan w:val="3"/>
            <w:tcBorders>
              <w:top w:val="single" w:sz="8" w:space="0" w:color="000000"/>
              <w:bottom w:val="double" w:sz="5"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18" w:after="54"/>
              <w:jc w:val="center"/>
              <w:rPr>
                <w:rFonts w:ascii="Times New Roman;serif" w:hAnsi="Times New Roman;serif"/>
                <w:b w:val="false"/>
                <w:color w:val="000000"/>
                <w:sz w:val="22"/>
              </w:rPr>
            </w:pPr>
            <w:r>
              <w:rPr>
                <w:rFonts w:ascii="Times New Roman;serif" w:hAnsi="Times New Roman;serif"/>
                <w:b w:val="false"/>
                <w:color w:val="000000"/>
                <w:sz w:val="22"/>
              </w:rPr>
              <w:t>8,094,793</w:t>
            </w:r>
          </w:p>
        </w:tc>
        <w:tc>
          <w:tcPr>
            <w:tcW w:w="2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525,897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7205"/>
                <wp:effectExtent l="0" t="0" r="0" b="0"/>
                <wp:wrapNone/>
                <wp:docPr id="46" name="Frame4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A-1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A-1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Schedule B</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Pricing Information Included in the Time of Sale Prospectus</w:t>
      </w:r>
    </w:p>
    <w:tbl>
      <w:tblPr>
        <w:tblW w:w="6916" w:type="dxa"/>
        <w:jc w:val="left"/>
        <w:tblInd w:w="0" w:type="dxa"/>
        <w:tblLayout w:type="fixed"/>
        <w:tblCellMar>
          <w:top w:w="28" w:type="dxa"/>
          <w:left w:w="28" w:type="dxa"/>
          <w:bottom w:w="28" w:type="dxa"/>
          <w:right w:w="28" w:type="dxa"/>
        </w:tblCellMar>
      </w:tblPr>
      <w:tblGrid>
        <w:gridCol w:w="2097"/>
        <w:gridCol w:w="1850"/>
        <w:gridCol w:w="1858"/>
        <w:gridCol w:w="324"/>
        <w:gridCol w:w="324"/>
        <w:gridCol w:w="463"/>
      </w:tblGrid>
      <w:tr>
        <w:trPr/>
        <w:tc>
          <w:tcPr>
            <w:tcW w:w="2097"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Price per share to the public: </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$14.50</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Price per pre-funded warrant to the public:</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$14.499</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Number of shares being sold by the Company: </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8,094,793</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Number of pre-funded warrants being sold by the Company:</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525,897</w:t>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2"/>
              </w:rPr>
            </w:pPr>
            <w:r>
              <w:rPr>
                <w:rFonts w:ascii="Times New Roman;serif" w:hAnsi="Times New Roman;serif"/>
                <w:b w:val="false"/>
                <w:color w:val="000000"/>
                <w:sz w:val="22"/>
              </w:rPr>
              <w:t xml:space="preserve">Number of shares potentially issuable pursuant </w:t>
            </w:r>
          </w:p>
          <w:p>
            <w:pPr>
              <w:pStyle w:val="TableContents"/>
              <w:bidi w:val="0"/>
              <w:spacing w:lineRule="auto" w:line="288" w:before="0" w:after="20"/>
              <w:jc w:val="left"/>
              <w:rPr>
                <w:color w:val="000000"/>
              </w:rPr>
            </w:pPr>
            <w:r>
              <w:rPr>
                <w:color w:val="000000"/>
              </w:rPr>
              <w:t>    </w:t>
            </w:r>
            <w:r>
              <w:rPr>
                <w:rFonts w:ascii="Times New Roman;serif" w:hAnsi="Times New Roman;serif"/>
                <w:b w:val="false"/>
                <w:color w:val="000000"/>
                <w:sz w:val="22"/>
              </w:rPr>
              <w:t xml:space="preserve">to the option to purchase additional shares: </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1,293,103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25780"/>
                <wp:effectExtent l="0" t="0" r="0" b="0"/>
                <wp:wrapNone/>
                <wp:docPr id="47" name="Frame4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Schedule B-1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Schedule B-1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Schedule C</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Permitted Testing-the-Waters Communications</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25780"/>
                <wp:effectExtent l="0" t="0" r="0" b="0"/>
                <wp:wrapNone/>
                <wp:docPr id="48" name="Frame4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Schedule C-1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Schedule C-1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Form of Lock-up Agreement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_______________,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Jefferies LLC</w:t>
        <w:br/>
        <w:t>TD Securities (USA)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Representatives of the Several Underwriters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br/>
        <w:t>c/o Jefferies LLC</w:t>
        <w:br/>
        <w:t>520 Madison Avenue</w:t>
        <w:br/>
        <w:t>New York, New York 10022</w:t>
        <w:br/>
        <w:br/>
        <w:t>c/o TD Securities (USA)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 Vanderbilt Avenue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New York, New York 10017</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    Crescent Biopharma, Inc. (the “Company”)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Ladies &amp; Gentlemen:</w:t>
      </w:r>
    </w:p>
    <w:p>
      <w:pPr>
        <w:pStyle w:val="TextBody"/>
        <w:bidi w:val="0"/>
        <w:spacing w:lineRule="auto" w:line="288" w:before="0" w:after="240"/>
        <w:jc w:val="left"/>
        <w:rPr/>
      </w:pPr>
      <w:r>
        <w:rPr>
          <w:rFonts w:ascii="Times New Roman;serif" w:hAnsi="Times New Roman;serif"/>
          <w:b w:val="false"/>
          <w:color w:val="000000"/>
          <w:sz w:val="22"/>
        </w:rPr>
        <w:t>The undersigned is an owner of shares of ordinary shares, par value US$0.001 per share, of the Company (“</w:t>
      </w:r>
      <w:r>
        <w:rPr>
          <w:rFonts w:ascii="Times New Roman;serif" w:hAnsi="Times New Roman;serif"/>
          <w:b/>
          <w:color w:val="000000"/>
          <w:sz w:val="22"/>
        </w:rPr>
        <w:t>Shares</w:t>
      </w:r>
      <w:r>
        <w:rPr>
          <w:color w:val="000000"/>
        </w:rPr>
        <w:t>”</w:t>
      </w:r>
      <w:r>
        <w:rPr>
          <w:rFonts w:ascii="Times New Roman;serif" w:hAnsi="Times New Roman;serif"/>
          <w:b w:val="false"/>
          <w:color w:val="000000"/>
          <w:sz w:val="22"/>
        </w:rPr>
        <w:t>) or of securities convertible into or exchangeable or exercisable for Shares. The Company proposes to conduct a public offering of Shares (the “</w:t>
      </w:r>
      <w:r>
        <w:rPr>
          <w:rFonts w:ascii="Times New Roman;serif" w:hAnsi="Times New Roman;serif"/>
          <w:b/>
          <w:color w:val="000000"/>
          <w:sz w:val="22"/>
        </w:rPr>
        <w:t>Offering</w:t>
      </w:r>
      <w:r>
        <w:rPr>
          <w:color w:val="000000"/>
        </w:rPr>
        <w:t>”</w:t>
      </w:r>
      <w:r>
        <w:rPr>
          <w:rFonts w:ascii="Times New Roman;serif" w:hAnsi="Times New Roman;serif"/>
          <w:b w:val="false"/>
          <w:color w:val="000000"/>
          <w:sz w:val="22"/>
        </w:rPr>
        <w:t>) for which Jefferies LLC (“</w:t>
      </w:r>
      <w:r>
        <w:rPr>
          <w:rFonts w:ascii="Times New Roman;serif" w:hAnsi="Times New Roman;serif"/>
          <w:b/>
          <w:color w:val="000000"/>
          <w:sz w:val="22"/>
        </w:rPr>
        <w:t>Jefferies</w:t>
      </w:r>
      <w:r>
        <w:rPr>
          <w:color w:val="000000"/>
        </w:rPr>
        <w:t>”</w:t>
      </w:r>
      <w:r>
        <w:rPr>
          <w:rFonts w:ascii="Times New Roman;serif" w:hAnsi="Times New Roman;serif"/>
          <w:b w:val="false"/>
          <w:color w:val="000000"/>
          <w:sz w:val="22"/>
        </w:rPr>
        <w:t>) and TD Securities (USA) LLC (“</w:t>
      </w:r>
      <w:r>
        <w:rPr>
          <w:rFonts w:ascii="Times New Roman;serif" w:hAnsi="Times New Roman;serif"/>
          <w:b/>
          <w:color w:val="000000"/>
          <w:sz w:val="22"/>
        </w:rPr>
        <w:t>TD Cowen</w:t>
      </w:r>
      <w:r>
        <w:rPr>
          <w:color w:val="000000"/>
        </w:rPr>
        <w:t>”</w:t>
      </w:r>
      <w:r>
        <w:rPr>
          <w:rFonts w:ascii="Times New Roman;serif" w:hAnsi="Times New Roman;serif"/>
          <w:b w:val="false"/>
          <w:color w:val="000000"/>
          <w:sz w:val="22"/>
        </w:rPr>
        <w:t>) will act as the Representatives (collectively, the “</w:t>
      </w:r>
      <w:r>
        <w:rPr>
          <w:rFonts w:ascii="Times New Roman;serif" w:hAnsi="Times New Roman;serif"/>
          <w:b/>
          <w:color w:val="000000"/>
          <w:sz w:val="22"/>
        </w:rPr>
        <w:t>Representatives</w:t>
      </w:r>
      <w:r>
        <w:rPr>
          <w:color w:val="000000"/>
        </w:rPr>
        <w:t>”</w:t>
      </w:r>
      <w:r>
        <w:rPr>
          <w:rFonts w:ascii="Times New Roman;serif" w:hAnsi="Times New Roman;serif"/>
          <w:b w:val="false"/>
          <w:color w:val="000000"/>
          <w:sz w:val="22"/>
        </w:rPr>
        <w:t>)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serif" w:hAnsi="Times New Roman;serif"/>
          <w:b/>
          <w:color w:val="000000"/>
          <w:sz w:val="22"/>
        </w:rPr>
        <w:t>Underwriting Agreement</w:t>
      </w:r>
      <w:r>
        <w:rPr>
          <w:color w:val="000000"/>
        </w:rPr>
        <w:t>”</w:t>
      </w:r>
      <w:r>
        <w:rPr>
          <w:rFonts w:ascii="Times New Roman;serif" w:hAnsi="Times New Roman;serif"/>
          <w:b w:val="false"/>
          <w:color w:val="000000"/>
          <w:sz w:val="22"/>
        </w:rPr>
        <w:t>) and other underwriting arrangements with the Company with respect to the Offering.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Annex A sets forth definitions for capitalized terms used in this letter agreement that are not defined in the body of this letter agreement. Those definitions are a part of this letter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consideration of the foregoing, and for other good and valuable consideration, the receipt and sufficiency of which are hereby acknowledged, the undersigned hereby agrees that, during the Lock-up Period, the undersigned will not (and, if the undersigned is a natural person, will cause any Family Member not to), subject to the exceptions set forth in this letter agreement, without the prior written consent of Jefferies and TD Cowen, which may withhold its consent in its sole discretion: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Sell or Offer to Sell any Shares or Related Securities currently or hereafter owned either of record or beneficially (as defined in Rule 13d-3 under the Exchange Act) by the undersigned or such Family Member,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enter into any Swap,</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make any demand for, or exercise any right with respect to, the registration under the Securities Act of the offer and sale of any Shares or Related Securities, or cause to be filed a </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67665"/>
                <wp:effectExtent l="0" t="0" r="0" b="0"/>
                <wp:wrapNone/>
                <wp:docPr id="49" name="Frame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registration statement, prospectus or prospectus supplement (or an amendment or supplement thereto) with respect to any such registration,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 xml:space="preserve">publicly announce any intention to do any of the foregoing.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foregoing restrictions will not apply to the registration of the offer and sale of the Shares, and the sale of the Shares to the underwriters, in each case as contemplated by the Underwriting Agreement. In addition, the foregoing restrictions shall not apply: </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(i)if the undersigned is a natural person, to any transfers of Shares or Related Securities made by the undersigned (a) upon death by will or intestate succession to a Family Member, (b) to a trust whose beneficiaries consist exclusively of one or more of the undersigned and/or a Family Member, or (c) by charitable contribution or as a bona fide gift if, in any such case, such transfer is not for value; </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(ii)if the undersigned is a corporation, partnership, limited liability company or other business entity, to any transfers of Shares or Related Securities to any shareholder, partner, or member of, or owner of a similar equity interest in, the undersigned, as the case may be, if, in any such case, such transfer is not for value; </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(iii)if the undersigned is a corporation, partnership, limited liability company or other business entity, to any transfer of Shares or Related Securities made by the undersigned to another corporation, partnership, limited liability company or other business entity so long as the transferee is an Affiliate of the undersigned and such transfer is not for value; </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(iv)if the undersigned is not an executive officer or director of the Company, to the sale of Shares or Related Securities acquired in open market transactions after completion of the Offering, provided that no filing under the Exchange Act (other than reports filed under Section 13 of the Exchange Act) shall be required, and such transaction is not publicly announced (whether on Form 4, Form 5 or otherwise) during the Lock-Up Period and, if the filing of a report is required under Section 13 of the Exchange Act during the Lock-Up Period, such filing shall clearly indicate the type of transaction giving rise to the change in ownership; </w:t>
      </w:r>
    </w:p>
    <w:p>
      <w:pPr>
        <w:pStyle w:val="TextBody"/>
        <w:bidi w:val="0"/>
        <w:spacing w:lineRule="auto" w:line="288" w:before="0" w:after="0"/>
        <w:ind w:left="0" w:right="0" w:hanging="720"/>
        <w:jc w:val="left"/>
        <w:rPr/>
      </w:pPr>
      <w:r>
        <w:rPr>
          <w:rFonts w:ascii="Times New Roman;serif" w:hAnsi="Times New Roman;serif"/>
          <w:b w:val="false"/>
          <w:color w:val="000000"/>
          <w:sz w:val="22"/>
        </w:rPr>
        <w:t>(v)to the transfer of the undersigned’s Shares or Related Securities pursuant to a contract, instruction or plan, including durable automatic sale instructions for sell-to-cover transactions, that is designed to comply with Rule 10b5-1 under the Exchange Act (“</w:t>
      </w:r>
      <w:r>
        <w:rPr>
          <w:rFonts w:ascii="Times New Roman;serif" w:hAnsi="Times New Roman;serif"/>
          <w:b/>
          <w:color w:val="000000"/>
          <w:sz w:val="22"/>
        </w:rPr>
        <w:t>10b5-1 Trading Plan</w:t>
      </w:r>
      <w:r>
        <w:rPr>
          <w:color w:val="000000"/>
        </w:rPr>
        <w:t>”</w:t>
      </w:r>
      <w:r>
        <w:rPr>
          <w:rFonts w:ascii="Times New Roman;serif" w:hAnsi="Times New Roman;serif"/>
          <w:b w:val="false"/>
          <w:color w:val="000000"/>
          <w:sz w:val="22"/>
        </w:rPr>
        <w:t>) (as such rule was in effect at the time any such trading plan was adopted) that has been entered into by the undersigned prior to the date of this letter agreement and provided to the Representatives and their counsel, provided that such 10b5-1 Trading Plan will not be amended or otherwise modified during the Lock-up Period and that to the extent a public announcement or filing under the Exchange Act, if any, is required of the undersigned or the Company regarding any such sales, such announcement or filing shall include a statement to the effect that any sales were effected pursuant to such 10b5-1 Trading Plan and no public announcement shall be made voluntarily in connection with such sales;</w:t>
      </w:r>
    </w:p>
    <w:p>
      <w:pPr>
        <w:pStyle w:val="TextBody"/>
        <w:bidi w:val="0"/>
        <w:spacing w:lineRule="auto" w:line="288"/>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(vi)to the entry into, by the undersigned, at any time on or after the date of the Underwriting Agreement, a 10b5-1 Trading Plan, provided, however, that such plan does not provide for, or permit, the sale of any Shares or Related Securities during the Lock-Up Period; and provided further that no public announcement, report or filing under the Exchange Act, or any other public filing, report or announcement, shall be voluntarily made (whether by or on behalf of the undersigned, the Company or any other party) regarding, or that otherwise discloses, the establishment of such plan during the Lock-up Period, and if any such filing, report or announcement shall be legally required during the Lock-up Period, such filing, report or announcement shall clearly indicate in the footnotes thereto that none of the securities subject </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7665"/>
                <wp:effectExtent l="0" t="0" r="0" b="0"/>
                <wp:wrapNone/>
                <wp:docPr id="50"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to such plan may be transferred, sold or otherwise disposed of pursuant to such plan until after the expiration of the Lock-up Period; </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(vii)to any transfers made by the undersigned to the Company in connection with the exercise, vesting or settlement of options, warrants, restricted share units or other rights to acquire Shares or Related Securities in accordance with their terms (including, in each case, by way of net exercise and/or to cover withholding tax obligations), in all such cases pursuant to equity awards granted under a stock incentive plan or other equity award plan, or pursuant to the terms of convertible securities, each as described in the registration statement filed with the SEC in connection with the Offering, provided that any securities received upon such vesting, settlement, exercise or conversion shall be subject to the terms of this letter agreement; </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(viii)to any transfer of Shares or Related Securities pursuant to a bona fide third-party tender offer for securities of the Company, merger, consolidation or other similar transaction made to all holders of the Company’s securities involving a Change of Control, which transaction is approved by the Board of Directors of the Company, provided that all of the undersigned’s securities subject to this letter agreement that are not so transferred, sold, tendered or otherwise disposed of remain subject to this letter agreement, and provided further that it shall be a condition of the transfer that if the tender offer, merger, consolidation or other such transaction is not completed, the undersigned’s securities subject to this letter agreement shall remain subject to the restrictions herein; </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(ix)to any transfer of Shares by (a) operation of law pursuant to a court order or (b) a settlement agreement related to the distribution of assets in connection with the dissolution of a marriage or civil union; and </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(x)to any transfer of the undersigned’s Shares or Related Securities to the Company in connection with (a) the termination of the undersigned’s employment with the Company, or (b) pursuant to agreements under which the Company has the option to repurchase such shares; </w:t>
      </w:r>
    </w:p>
    <w:p>
      <w:pPr>
        <w:pStyle w:val="TextBody"/>
        <w:bidi w:val="0"/>
        <w:spacing w:lineRule="auto" w:line="288" w:before="0" w:after="240"/>
        <w:jc w:val="left"/>
        <w:rPr/>
      </w:pPr>
      <w:r>
        <w:rPr>
          <w:rFonts w:ascii="Times New Roman;serif" w:hAnsi="Times New Roman;serif"/>
          <w:b w:val="false"/>
          <w:i/>
          <w:color w:val="000000"/>
          <w:sz w:val="22"/>
        </w:rPr>
        <w:t>provided, however</w:t>
      </w:r>
      <w:r>
        <w:rPr>
          <w:rFonts w:ascii="Times New Roman;serif" w:hAnsi="Times New Roman;serif"/>
          <w:b w:val="false"/>
          <w:color w:val="000000"/>
          <w:sz w:val="22"/>
        </w:rPr>
        <w:t>, that in any such case, it shall be a condition to such transfer that: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in the case of any transfer described in clause (i), (ii), (iii) or (ix) above, it shall be a condition to the transfer that each transferee executes and delivers to the Representatives an agreement in form and substance satisfactory to the Representatives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in the case of any transfer described in clause (i)(b), (ii) and (iii) above, prior to the expiration of the Lock-up Period, no public disclosure or filing under the Exchange Act by any party to the transfer (donor, donee, transferor or transferee) shall be required, or made voluntarily, reporting a reduction in beneficial ownership of Shares or Related Securities in connection with such transfer;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in the case of any transfer described in clause (i)(a), (i)(c), (iv) (vii), (viii), (ix) or (x) above, that any required filing under the Exchange Act shall indicate in the footnotes thereto that the filing relates to the circumstances described in such clause, provided no other public announcement shall be required and no public filing or announcement shall be made voluntarily in connection with such transfer.</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For avoidance of doubt, nothing in this letter agreement restricts or prohibits the undersigned from exercising any options or warrants to purchase Shares described in the final prospectus relating to the </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67665"/>
                <wp:effectExtent l="0" t="0" r="0" b="0"/>
                <wp:wrapNone/>
                <wp:docPr id="51" name="Frame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Offering (the “</w:t>
      </w:r>
      <w:r>
        <w:rPr>
          <w:rFonts w:ascii="Times New Roman;serif" w:hAnsi="Times New Roman;serif"/>
          <w:b/>
          <w:color w:val="000000"/>
          <w:sz w:val="22"/>
        </w:rPr>
        <w:t>Prospectus</w:t>
      </w:r>
      <w:r>
        <w:rPr>
          <w:color w:val="000000"/>
        </w:rPr>
        <w:t>”</w:t>
      </w:r>
      <w:r>
        <w:rPr>
          <w:rFonts w:ascii="Times New Roman;serif" w:hAnsi="Times New Roman;serif"/>
          <w:b w:val="false"/>
          <w:color w:val="000000"/>
          <w:sz w:val="22"/>
        </w:rPr>
        <w:t xml:space="preserve">) or the documents incorporated by reference therein (which exercises may be effected on a cashless basis to the extent the instruments representing such options or warrants permit exercises on a cashless basis, with the exception of sell-to-cover transactions that are not permitted by clause (v) above), insofar as such option or warrant is outstanding as of the date of the Prospectus, or the vesting of an award of Shares or any related transfer of Shares to the Company in connection therewith, it being understood that any Shares issued upon such exercises will be subject to the restrictions of this letter agreement and provided, however, that (i) if the undersigned is required to file a report under Section 16(a) of the Exchange Act reporting a reduction in beneficial ownership of such options or warrants during the Lock-Up Period, the undersigned shall include a statement in such report to the effect that the disposition relates to the exercise of an option or warrant, as applicable, (ii) no other public announcement or filing is voluntarily made regarding such exercise during the Lock-Up Period and (iii) the Shares received upon exercise are subject to the restrictions of this letter agreement.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undersigned also agrees and consents to the entry of stop transfer instructions with the Company’s transfer agent and registrar against the transfer of Shares or Related Securities held by the undersigned and, if the undersigned is a natural person, the undersigned’s Family Members, if any, except in compliance with the foregoing restrictions.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the undersigned in connection with the Offering, the Representatives and the other underwriters are not making a recommendation to the undersigned to enter into this letter agreement and nothing set forth in such disclosures is intended to suggest that the Representatives or any underwriter is making such a recommendation.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If (i)(a) prior to the execution of the Underwriting Agreement, the Company notifies the Representatives in writing that it does not intend to proceed with the Offering or (b) prior to the execution of the Underwriting Agreement, the Representatives notify the Company in writing that the underwriters do not intend to proceed with the Offering, (ii) the Underwriting Agreement is not executed by July 31, 2026 (provided, however, that the undersigned agrees that this letter agreement shall be automatically extended by one month if the Company provides written notice to the undersigned that the Company is still pursuing the Offering), (iii) the Underwriting Agreement (other than the provisions thereof which survive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52" name="Frame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termination) shall terminate or be terminated for any reason prior to payment for and delivery of any Shares to be sold thereunder, or (iv) the registration statement filed with the SEC in connection with the Offering is withdrawn, then this letter agreement shall immediately be terminated and the undersigned shall automatically be released from all of his, her or its obligations under this letter agreement.</w:t>
      </w:r>
    </w:p>
    <w:p>
      <w:pPr>
        <w:pStyle w:val="TextBody"/>
        <w:bidi w:val="0"/>
        <w:spacing w:lineRule="auto" w:line="288" w:before="0" w:after="240"/>
        <w:jc w:val="left"/>
        <w:rPr/>
      </w:pPr>
      <w:r>
        <w:rPr>
          <w:rFonts w:ascii="Times New Roman;serif" w:hAnsi="Times New Roman;serif"/>
          <w:b w:val="false"/>
          <w:color w:val="000000"/>
          <w:sz w:val="22"/>
        </w:rPr>
        <w:t xml:space="preserve">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 This letter agreement may be delivered via facsimile, electronic mail (including pdf or any electronic signature complying with the U.S. federal ESIGN Act of 2000, </w:t>
      </w:r>
      <w:r>
        <w:rPr>
          <w:rFonts w:ascii="Times New Roman;serif" w:hAnsi="Times New Roman;serif"/>
          <w:b w:val="false"/>
          <w:i/>
          <w:color w:val="000000"/>
          <w:sz w:val="22"/>
        </w:rPr>
        <w:t>e.g.</w:t>
      </w:r>
      <w:r>
        <w:rPr>
          <w:color w:val="000000"/>
        </w:rPr>
        <w:t xml:space="preserve"> </w:t>
      </w:r>
      <w:r>
        <w:rPr>
          <w:rFonts w:ascii="Times New Roman;serif" w:hAnsi="Times New Roman;serif"/>
          <w:b w:val="false"/>
          <w:color w:val="000000"/>
          <w:sz w:val="22"/>
        </w:rPr>
        <w:t xml:space="preserve">www.docusign.com or www.echosign.com) or other transmission method and any counterpart so delivered shall be deemed to have been duly and validly delivered and be valid and effective for all purposes.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This letter agreement shall be governed by, and construed in accordance with, the laws of the State of New York.</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7665"/>
                <wp:effectExtent l="0" t="0" r="0" b="0"/>
                <wp:wrapNone/>
                <wp:docPr id="53" name="Frame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Very truly yours, </w:t>
      </w:r>
    </w:p>
    <w:p>
      <w:pPr>
        <w:pStyle w:val="TextBody"/>
        <w:bidi w:val="0"/>
        <w:spacing w:before="0" w:after="0"/>
        <w:jc w:val="left"/>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both"/>
        <w:rPr/>
      </w:pPr>
      <w:r>
        <w:rPr>
          <w:color w:val="000000"/>
          <w:u w:val="single"/>
        </w:rPr>
        <w:t>    </w:t>
      </w:r>
      <w:r>
        <w:rPr>
          <w:rFonts w:ascii="Times New Roman;serif" w:hAnsi="Times New Roman;serif"/>
          <w:b w:val="false"/>
          <w:color w:val="000000"/>
          <w:sz w:val="22"/>
        </w:rPr>
        <w:br/>
        <w:t>Signature</w:t>
      </w:r>
    </w:p>
    <w:p>
      <w:pPr>
        <w:pStyle w:val="TextBody"/>
        <w:bidi w:val="0"/>
        <w:spacing w:before="0" w:after="240"/>
        <w:ind w:left="0" w:right="0" w:firstLine="720"/>
        <w:jc w:val="left"/>
        <w:rPr/>
      </w:pPr>
      <w:r>
        <w:rPr/>
      </w:r>
    </w:p>
    <w:p>
      <w:pPr>
        <w:pStyle w:val="TextBody"/>
        <w:bidi w:val="0"/>
        <w:spacing w:lineRule="auto" w:line="288" w:before="0" w:after="240"/>
        <w:jc w:val="left"/>
        <w:rPr/>
      </w:pPr>
      <w:r>
        <w:rPr>
          <w:color w:val="000000"/>
          <w:u w:val="single"/>
        </w:rPr>
        <w:t>        </w:t>
      </w:r>
      <w:r>
        <w:rPr>
          <w:rFonts w:ascii="Times New Roman;serif" w:hAnsi="Times New Roman;serif"/>
          <w:b w:val="false"/>
          <w:color w:val="000000"/>
          <w:sz w:val="22"/>
        </w:rPr>
        <w:br/>
        <w:t xml:space="preserve">Printed Name of Security Holder </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If not signing in an individual capacity:</w:t>
      </w:r>
    </w:p>
    <w:p>
      <w:pPr>
        <w:pStyle w:val="TextBody"/>
        <w:bidi w:val="0"/>
        <w:spacing w:before="0" w:after="240"/>
        <w:jc w:val="left"/>
        <w:rPr/>
      </w:pPr>
      <w:r>
        <w:rPr/>
      </w:r>
    </w:p>
    <w:p>
      <w:pPr>
        <w:pStyle w:val="TextBody"/>
        <w:bidi w:val="0"/>
        <w:spacing w:lineRule="auto" w:line="288" w:before="0" w:after="240"/>
        <w:jc w:val="left"/>
        <w:rPr/>
      </w:pPr>
      <w:r>
        <w:rPr>
          <w:color w:val="000000"/>
          <w:u w:val="single"/>
        </w:rPr>
        <w:t>        </w:t>
      </w:r>
      <w:r>
        <w:rPr>
          <w:rFonts w:ascii="Times New Roman;serif" w:hAnsi="Times New Roman;serif"/>
          <w:b w:val="false"/>
          <w:color w:val="000000"/>
          <w:sz w:val="22"/>
        </w:rPr>
        <w:br/>
        <w:t xml:space="preserve">Printed Name of Authorized Signatory </w:t>
      </w:r>
    </w:p>
    <w:p>
      <w:pPr>
        <w:pStyle w:val="TextBody"/>
        <w:bidi w:val="0"/>
        <w:spacing w:before="0" w:after="240"/>
        <w:jc w:val="left"/>
        <w:rPr/>
      </w:pPr>
      <w:r>
        <w:rPr/>
      </w:r>
    </w:p>
    <w:p>
      <w:pPr>
        <w:pStyle w:val="TextBody"/>
        <w:bidi w:val="0"/>
        <w:spacing w:lineRule="auto" w:line="288" w:before="0" w:after="240"/>
        <w:jc w:val="left"/>
        <w:rPr/>
      </w:pPr>
      <w:r>
        <w:rPr>
          <w:color w:val="000000"/>
          <w:u w:val="single"/>
        </w:rPr>
        <w:t>        </w:t>
      </w:r>
      <w:r>
        <w:rPr>
          <w:rFonts w:ascii="Times New Roman;serif" w:hAnsi="Times New Roman;serif"/>
          <w:b w:val="false"/>
          <w:color w:val="000000"/>
          <w:sz w:val="22"/>
        </w:rPr>
        <w:br/>
        <w:t xml:space="preserve">Printed Title of Authorized Signatory </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 xml:space="preserve">(Indicate capacity of person signing if </w:t>
        <w:br/>
        <w:t xml:space="preserve">signing as custodian, trustee, or on behalf </w:t>
        <w:br/>
        <w:t>of an entity)</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7665"/>
                <wp:effectExtent l="0" t="0" r="0" b="0"/>
                <wp:wrapNone/>
                <wp:docPr id="54" name="Frame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Certain Defined Terms</w:t>
        <w:br/>
      </w:r>
      <w:r>
        <w:rPr>
          <w:rFonts w:ascii="Times New Roman;serif" w:hAnsi="Times New Roman;serif"/>
          <w:b/>
          <w:color w:val="000000"/>
          <w:sz w:val="22"/>
          <w:u w:val="single"/>
        </w:rPr>
        <w:t>Used in Lock-up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purposes of the letter agreement to which this Annex A is attached and of which it is made a part:</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shall have the meaning set forth in Rule 405 under the Securities Act.</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Call Equivalent Position</w:t>
      </w:r>
      <w:r>
        <w:rPr>
          <w:color w:val="000000"/>
        </w:rPr>
        <w:t xml:space="preserve">” </w:t>
      </w:r>
      <w:r>
        <w:rPr>
          <w:rFonts w:ascii="Times New Roman;serif" w:hAnsi="Times New Roman;serif"/>
          <w:b w:val="false"/>
          <w:color w:val="000000"/>
          <w:sz w:val="22"/>
        </w:rPr>
        <w:t>shall have the meaning set forth in Rule 16a-1(b) under the Exchange Act.</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Change of Control</w:t>
      </w:r>
      <w:r>
        <w:rPr>
          <w:color w:val="000000"/>
        </w:rPr>
        <w:t xml:space="preserve">” </w:t>
      </w:r>
      <w:r>
        <w:rPr>
          <w:rFonts w:ascii="Times New Roman;serif" w:hAnsi="Times New Roman;serif"/>
          <w:b w:val="false"/>
          <w:color w:val="000000"/>
          <w:sz w:val="22"/>
        </w:rPr>
        <w:t>shall mean any bona fide third party tender offer, merger, consolidation or other similar transaction, in one transaction or a series of related transactions, the result of which is that any “person” (as defined in Section 13(d)(3) of the Exchange Act), or group of persons, other than the Company or its subsidiaries, becomes the beneficial owner (as defined in Rules 13d-3 and 13d-5 of the Exchange Act) of more than 50% of the total voting power of the voting shares of the Company (or the surviving entity).</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Exchange Act</w:t>
      </w:r>
      <w:r>
        <w:rPr>
          <w:color w:val="000000"/>
        </w:rPr>
        <w:t xml:space="preserve">” </w:t>
      </w:r>
      <w:r>
        <w:rPr>
          <w:rFonts w:ascii="Times New Roman;serif" w:hAnsi="Times New Roman;serif"/>
          <w:b w:val="false"/>
          <w:color w:val="000000"/>
          <w:sz w:val="22"/>
        </w:rPr>
        <w:t>shall mean the Securities Exchange Act of 1934, as amended.</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Family Member</w:t>
      </w:r>
      <w:r>
        <w:rPr>
          <w:color w:val="000000"/>
        </w:rPr>
        <w:t xml:space="preserve">” </w:t>
      </w:r>
      <w:r>
        <w:rPr>
          <w:rFonts w:ascii="Times New Roman;serif" w:hAnsi="Times New Roman;serif"/>
          <w:b w:val="false"/>
          <w:color w:val="000000"/>
          <w:sz w:val="22"/>
        </w:rPr>
        <w:t>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serif" w:hAnsi="Times New Roman;serif"/>
          <w:b/>
          <w:color w:val="000000"/>
          <w:sz w:val="22"/>
        </w:rPr>
        <w:t>Immediate family member</w:t>
      </w:r>
      <w:r>
        <w:rPr>
          <w:color w:val="000000"/>
        </w:rPr>
        <w:t xml:space="preserve">” </w:t>
      </w:r>
      <w:r>
        <w:rPr>
          <w:rFonts w:ascii="Times New Roman;serif" w:hAnsi="Times New Roman;serif"/>
          <w:b w:val="false"/>
          <w:color w:val="000000"/>
          <w:sz w:val="22"/>
        </w:rPr>
        <w:t>as used above shall have the meaning set forth in Rule 16a-1(e) under the Exchange Act.</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Lock-up Period</w:t>
      </w:r>
      <w:r>
        <w:rPr>
          <w:color w:val="000000"/>
        </w:rPr>
        <w:t xml:space="preserve">” </w:t>
      </w:r>
      <w:r>
        <w:rPr>
          <w:rFonts w:ascii="Times New Roman;serif" w:hAnsi="Times New Roman;serif"/>
          <w:b w:val="false"/>
          <w:color w:val="000000"/>
          <w:sz w:val="22"/>
        </w:rPr>
        <w:t>shall mean the period beginning on the date hereof and continuing through the close of trading on the date that is 60 days after the date of the Prospectus (as defined in the Underwriting Agreement).</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Put Equivalent Position</w:t>
      </w:r>
      <w:r>
        <w:rPr>
          <w:color w:val="000000"/>
        </w:rPr>
        <w:t xml:space="preserve">” </w:t>
      </w:r>
      <w:r>
        <w:rPr>
          <w:rFonts w:ascii="Times New Roman;serif" w:hAnsi="Times New Roman;serif"/>
          <w:b w:val="false"/>
          <w:color w:val="000000"/>
          <w:sz w:val="22"/>
        </w:rPr>
        <w:t>shall have the meaning set forth in Rule 16a-1(h) under the Exchange Act.</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Related Securities</w:t>
      </w:r>
      <w:r>
        <w:rPr>
          <w:color w:val="000000"/>
        </w:rPr>
        <w:t xml:space="preserve">” </w:t>
      </w:r>
      <w:r>
        <w:rPr>
          <w:rFonts w:ascii="Times New Roman;serif" w:hAnsi="Times New Roman;serif"/>
          <w:b w:val="false"/>
          <w:color w:val="000000"/>
          <w:sz w:val="22"/>
        </w:rPr>
        <w:t>shall mean any options or warrants or other rights to acquire Shares or any securities exchangeable or exercisable for or convertible into Shares, or to acquire other securities or rights ultimately exchangeable or exercisable for or convertible into Shares.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Securities Act</w:t>
      </w:r>
      <w:r>
        <w:rPr>
          <w:color w:val="000000"/>
        </w:rPr>
        <w:t xml:space="preserve">” </w:t>
      </w:r>
      <w:r>
        <w:rPr>
          <w:rFonts w:ascii="Times New Roman;serif" w:hAnsi="Times New Roman;serif"/>
          <w:b w:val="false"/>
          <w:color w:val="000000"/>
          <w:sz w:val="22"/>
        </w:rPr>
        <w:t>shall mean the Securities Act of 1933, as amended.</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Sell or Offer to Sell</w:t>
      </w:r>
      <w:r>
        <w:rPr>
          <w:color w:val="000000"/>
        </w:rPr>
        <w:t xml:space="preserve">” </w:t>
      </w:r>
      <w:r>
        <w:rPr>
          <w:rFonts w:ascii="Times New Roman;serif" w:hAnsi="Times New Roman;serif"/>
          <w:b w:val="false"/>
          <w:color w:val="000000"/>
          <w:sz w:val="22"/>
        </w:rPr>
        <w:t xml:space="preserve">shall mean to: </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2"/>
        </w:rPr>
        <w:t>sell, offer to sell, contract to sell or lend,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2"/>
        </w:rPr>
        <w:t>effect any short sale or establish or increase a Put Equivalent Position or liquidate or decrease any Call Equivalent Position</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2"/>
        </w:rPr>
        <w:t>pledge, hypothecate or grant any security interest in, or</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2"/>
        </w:rPr>
        <w:t>in any other way transfer or dispose of,</w:t>
      </w:r>
    </w:p>
    <w:p>
      <w:pPr>
        <w:pStyle w:val="TextBody"/>
        <w:bidi w:val="0"/>
        <w:spacing w:lineRule="auto" w:line="288" w:before="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each case whether effected directly or indirectly.</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67665"/>
                <wp:effectExtent l="0" t="0" r="0" b="0"/>
                <wp:wrapNone/>
                <wp:docPr id="55" name="Frame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Swap</w:t>
      </w:r>
      <w:r>
        <w:rPr>
          <w:color w:val="000000"/>
        </w:rPr>
        <w:t xml:space="preserve">” </w:t>
      </w:r>
      <w:r>
        <w:rPr>
          <w:rFonts w:ascii="Times New Roman;serif" w:hAnsi="Times New Roman;serif"/>
          <w:b w:val="false"/>
          <w:color w:val="000000"/>
          <w:sz w:val="22"/>
        </w:rPr>
        <w:t>shall mean any swap, hedge or similar arrangement or agreement that transfers, in whole or in part, the economic risk of ownership of Shares or Related Securities, regardless of whether any such transaction is to be settled in securities, in cash or otherwise.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Capitalized terms not defined in this Annex A shall have the meanings given to them in the body of this lock-up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7665"/>
                <wp:effectExtent l="0" t="0" r="0" b="0"/>
                <wp:wrapNone/>
                <wp:docPr id="56" name="Frame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494949"/>
                          <w:sz w:val="22"/>
                        </w:rPr>
                      </w:pPr>
                      <w:r>
                        <w:rPr>
                          <w:rFonts w:ascii="Times New Roman;serif" w:hAnsi="Times New Roman;serif"/>
                          <w:b w:val="false"/>
                          <w:color w:val="494949"/>
                          <w:sz w:val="22"/>
                        </w:rPr>
                        <w:t>A-8</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OF PRE-FUNDED WARRANT TO PURCHASE ORDINARY SHARES</w:t>
      </w:r>
    </w:p>
    <w:p>
      <w:pPr>
        <w:pStyle w:val="TextBody"/>
        <w:bidi w:val="0"/>
        <w:spacing w:before="0" w:after="0"/>
        <w:jc w:val="center"/>
        <w:rPr/>
      </w:pPr>
      <w:r>
        <w:rPr/>
      </w:r>
    </w:p>
    <w:p>
      <w:pPr>
        <w:pStyle w:val="TextBody"/>
        <w:bidi w:val="0"/>
        <w:spacing w:lineRule="auto" w:line="288" w:before="0" w:after="120"/>
        <w:jc w:val="center"/>
        <w:rPr/>
      </w:pPr>
      <w:r>
        <w:rPr>
          <w:rFonts w:ascii="Times New Roman;serif" w:hAnsi="Times New Roman;serif"/>
          <w:b/>
          <w:color w:val="000000"/>
          <w:sz w:val="20"/>
        </w:rPr>
        <w:t>CRESCENT BIOPHARMA, INC.</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right"/>
        <w:rPr>
          <w:color w:val="000000"/>
        </w:rPr>
      </w:pPr>
      <w:r>
        <w:rPr>
          <w:color w:val="000000"/>
        </w:rPr>
        <w:t>       </w:t>
      </w:r>
      <w:r>
        <w:rPr>
          <w:rFonts w:ascii="Times New Roman;serif" w:hAnsi="Times New Roman;serif"/>
          <w:b w:val="false"/>
          <w:color w:val="000000"/>
          <w:sz w:val="20"/>
        </w:rPr>
        <w:t>Number of Shares: [            ]</w:t>
        <w:br/>
        <w:t>(subject to adjustment)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Warrant No. </w:t>
      </w:r>
      <w:r>
        <w:rPr>
          <w:color w:val="000000"/>
        </w:rPr>
        <w:t>    </w:t>
      </w:r>
      <w:r>
        <w:rPr>
          <w:rFonts w:ascii="Times New Roman;serif" w:hAnsi="Times New Roman;serif"/>
          <w:b w:val="false"/>
          <w:color w:val="000000"/>
          <w:sz w:val="20"/>
        </w:rPr>
        <w:t>Original Issue Date: [ ], 2026</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color w:val="000000"/>
          <w:sz w:val="20"/>
        </w:rPr>
        <w:t>Crescent Biopharma, Inc.,</w:t>
      </w:r>
      <w:r>
        <w:rPr>
          <w:color w:val="000000"/>
        </w:rPr>
        <w:t xml:space="preserve"> </w:t>
      </w:r>
      <w:r>
        <w:rPr>
          <w:rFonts w:ascii="Times New Roman;serif" w:hAnsi="Times New Roman;serif"/>
          <w:b w:val="false"/>
          <w:color w:val="000000"/>
          <w:sz w:val="20"/>
        </w:rPr>
        <w:t>a Cayman Islands exempted company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hereby certifies that, for good and valuable consideration, the receipt and sufficiency of which are hereby acknowledged, [ ] or its registered assigns (the “</w:t>
      </w:r>
      <w:r>
        <w:rPr>
          <w:rFonts w:ascii="Times New Roman;serif" w:hAnsi="Times New Roman;serif"/>
          <w:b/>
          <w:i/>
          <w:color w:val="000000"/>
          <w:sz w:val="20"/>
        </w:rPr>
        <w:t>Holder</w:t>
      </w:r>
      <w:r>
        <w:rPr>
          <w:color w:val="000000"/>
        </w:rPr>
        <w:t>”</w:t>
      </w:r>
      <w:r>
        <w:rPr>
          <w:rFonts w:ascii="Times New Roman;serif" w:hAnsi="Times New Roman;serif"/>
          <w:b w:val="false"/>
          <w:color w:val="000000"/>
          <w:sz w:val="20"/>
        </w:rPr>
        <w:t>), is entitled, subject to the terms set forth below, to purchase from the Company up to a total of [ ] ordinary shares, US$0.001 par value per share (the “</w:t>
      </w:r>
      <w:r>
        <w:rPr>
          <w:rFonts w:ascii="Times New Roman;serif" w:hAnsi="Times New Roman;serif"/>
          <w:b/>
          <w:i/>
          <w:color w:val="000000"/>
          <w:sz w:val="20"/>
        </w:rPr>
        <w:t>Ordinary Shares</w:t>
      </w:r>
      <w:r>
        <w:rPr>
          <w:color w:val="000000"/>
        </w:rPr>
        <w:t>”</w:t>
      </w:r>
      <w:r>
        <w:rPr>
          <w:rFonts w:ascii="Times New Roman;serif" w:hAnsi="Times New Roman;serif"/>
          <w:b w:val="false"/>
          <w:color w:val="000000"/>
          <w:sz w:val="20"/>
        </w:rPr>
        <w:t>), of the Company (each such share, a “</w:t>
      </w:r>
      <w:r>
        <w:rPr>
          <w:rFonts w:ascii="Times New Roman;serif" w:hAnsi="Times New Roman;serif"/>
          <w:b/>
          <w:i/>
          <w:color w:val="000000"/>
          <w:sz w:val="20"/>
        </w:rPr>
        <w:t>Warrant Share</w:t>
      </w:r>
      <w:r>
        <w:rPr>
          <w:color w:val="000000"/>
        </w:rPr>
        <w:t xml:space="preserve">” </w:t>
      </w:r>
      <w:r>
        <w:rPr>
          <w:rFonts w:ascii="Times New Roman;serif" w:hAnsi="Times New Roman;serif"/>
          <w:b w:val="false"/>
          <w:color w:val="000000"/>
          <w:sz w:val="20"/>
        </w:rPr>
        <w:t>and all such shares, the “</w:t>
      </w:r>
      <w:r>
        <w:rPr>
          <w:rFonts w:ascii="Times New Roman;serif" w:hAnsi="Times New Roman;serif"/>
          <w:b/>
          <w:i/>
          <w:color w:val="000000"/>
          <w:sz w:val="20"/>
        </w:rPr>
        <w:t>Warrant Shares</w:t>
      </w:r>
      <w:r>
        <w:rPr>
          <w:color w:val="000000"/>
        </w:rPr>
        <w:t>”</w:t>
      </w:r>
      <w:r>
        <w:rPr>
          <w:rFonts w:ascii="Times New Roman;serif" w:hAnsi="Times New Roman;serif"/>
          <w:b w:val="false"/>
          <w:color w:val="000000"/>
          <w:sz w:val="20"/>
        </w:rPr>
        <w:t xml:space="preserve">) at an exercise price per share equal to US$0.001 per share (as adjusted from time to time as provided in </w:t>
      </w:r>
      <w:r>
        <w:rPr>
          <w:rFonts w:ascii="Times New Roman;serif" w:hAnsi="Times New Roman;serif"/>
          <w:b w:val="false"/>
          <w:color w:val="000000"/>
          <w:sz w:val="20"/>
          <w:u w:val="single"/>
        </w:rPr>
        <w:t>Section 9</w:t>
      </w:r>
      <w:r>
        <w:rPr>
          <w:color w:val="000000"/>
        </w:rPr>
        <w:t xml:space="preserve"> </w:t>
      </w:r>
      <w:r>
        <w:rPr>
          <w:rFonts w:ascii="Times New Roman;serif" w:hAnsi="Times New Roman;serif"/>
          <w:b w:val="false"/>
          <w:color w:val="000000"/>
          <w:sz w:val="20"/>
        </w:rPr>
        <w:t>herein, the “</w:t>
      </w:r>
      <w:r>
        <w:rPr>
          <w:rFonts w:ascii="Times New Roman;serif" w:hAnsi="Times New Roman;serif"/>
          <w:b/>
          <w:i/>
          <w:color w:val="000000"/>
          <w:sz w:val="20"/>
        </w:rPr>
        <w:t>Exercise Price</w:t>
      </w:r>
      <w:r>
        <w:rPr>
          <w:color w:val="000000"/>
        </w:rPr>
        <w:t>”</w:t>
      </w:r>
      <w:r>
        <w:rPr>
          <w:rFonts w:ascii="Times New Roman;serif" w:hAnsi="Times New Roman;serif"/>
          <w:b w:val="false"/>
          <w:color w:val="000000"/>
          <w:sz w:val="20"/>
        </w:rPr>
        <w:t>), upon surrender of this Warrant to purchase Ordinary Shares (including any Warrants to purchase Ordinary Shares issued in exchange, transfer or replacement hereof, the “</w:t>
      </w:r>
      <w:r>
        <w:rPr>
          <w:rFonts w:ascii="Times New Roman;serif" w:hAnsi="Times New Roman;serif"/>
          <w:b/>
          <w:i/>
          <w:color w:val="000000"/>
          <w:sz w:val="20"/>
        </w:rPr>
        <w:t>Warrant</w:t>
      </w:r>
      <w:r>
        <w:rPr>
          <w:color w:val="000000"/>
        </w:rPr>
        <w:t>”</w:t>
      </w:r>
      <w:r>
        <w:rPr>
          <w:rFonts w:ascii="Times New Roman;serif" w:hAnsi="Times New Roman;serif"/>
          <w:b w:val="false"/>
          <w:color w:val="000000"/>
          <w:sz w:val="20"/>
        </w:rPr>
        <w:t>) at any time and from time to time on or after the date hereof (the “</w:t>
      </w:r>
      <w:r>
        <w:rPr>
          <w:rFonts w:ascii="Times New Roman;serif" w:hAnsi="Times New Roman;serif"/>
          <w:b/>
          <w:i/>
          <w:color w:val="000000"/>
          <w:sz w:val="20"/>
        </w:rPr>
        <w:t>Original Issue Date</w:t>
      </w:r>
      <w:r>
        <w:rPr>
          <w:color w:val="000000"/>
        </w:rPr>
        <w:t>”</w:t>
      </w:r>
      <w:r>
        <w:rPr>
          <w:rFonts w:ascii="Times New Roman;serif" w:hAnsi="Times New Roman;serif"/>
          <w:b w:val="false"/>
          <w:color w:val="000000"/>
          <w:sz w:val="20"/>
        </w:rPr>
        <w:t xml:space="preserve">), until the Warrant has been exercised in full, subject to the following terms and conditions: </w:t>
      </w:r>
    </w:p>
    <w:p>
      <w:pPr>
        <w:pStyle w:val="TextBody"/>
        <w:bidi w:val="0"/>
        <w:spacing w:lineRule="auto" w:line="288" w:before="0" w:after="120"/>
        <w:jc w:val="left"/>
        <w:rPr/>
      </w:pPr>
      <w:r>
        <w:rPr>
          <w:rFonts w:ascii="Times New Roman;serif" w:hAnsi="Times New Roman;serif"/>
          <w:b w:val="false"/>
          <w:color w:val="000000"/>
          <w:sz w:val="20"/>
        </w:rPr>
        <w:t xml:space="preserve">1. </w:t>
      </w:r>
      <w:r>
        <w:rPr>
          <w:rFonts w:ascii="Times New Roman;serif" w:hAnsi="Times New Roman;serif"/>
          <w:b w:val="false"/>
          <w:i/>
          <w:color w:val="000000"/>
          <w:sz w:val="20"/>
        </w:rPr>
        <w:t>Definitions</w:t>
      </w:r>
      <w:r>
        <w:rPr>
          <w:rFonts w:ascii="Times New Roman;serif" w:hAnsi="Times New Roman;serif"/>
          <w:b w:val="false"/>
          <w:color w:val="000000"/>
          <w:sz w:val="20"/>
        </w:rPr>
        <w:t xml:space="preserve">. For purposes of this Warrant, the following terms shall have the following meanings: </w:t>
      </w:r>
    </w:p>
    <w:p>
      <w:pPr>
        <w:pStyle w:val="TextBody"/>
        <w:bidi w:val="0"/>
        <w:spacing w:lineRule="auto" w:line="288" w:before="0" w:after="120"/>
        <w:jc w:val="left"/>
        <w:rPr/>
      </w:pPr>
      <w:r>
        <w:rPr>
          <w:color w:val="000000"/>
        </w:rPr>
        <w:t>“</w:t>
      </w:r>
      <w:r>
        <w:rPr>
          <w:rFonts w:ascii="Times New Roman;serif" w:hAnsi="Times New Roman;serif"/>
          <w:b/>
          <w:i/>
          <w:color w:val="000000"/>
          <w:sz w:val="20"/>
        </w:rPr>
        <w:t>Affiliate</w:t>
      </w:r>
      <w:r>
        <w:rPr>
          <w:color w:val="000000"/>
        </w:rPr>
        <w:t xml:space="preserve">” </w:t>
      </w:r>
      <w:r>
        <w:rPr>
          <w:rFonts w:ascii="Times New Roman;serif" w:hAnsi="Times New Roman;serif"/>
          <w:b w:val="false"/>
          <w:color w:val="000000"/>
          <w:sz w:val="20"/>
        </w:rPr>
        <w:t xml:space="preserve">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more than 50% of the voting securities (whether directly or pursuant to any option, warrant or other similar arrangement) or other comparable equity interests. </w:t>
      </w:r>
    </w:p>
    <w:p>
      <w:pPr>
        <w:pStyle w:val="TextBody"/>
        <w:bidi w:val="0"/>
        <w:spacing w:lineRule="auto" w:line="288" w:before="0" w:after="120"/>
        <w:jc w:val="left"/>
        <w:rPr/>
      </w:pPr>
      <w:r>
        <w:rPr>
          <w:color w:val="000000"/>
        </w:rPr>
        <w:t>“</w:t>
      </w:r>
      <w:r>
        <w:rPr>
          <w:rFonts w:ascii="Times New Roman;serif" w:hAnsi="Times New Roman;serif"/>
          <w:b/>
          <w:i/>
          <w:color w:val="000000"/>
          <w:sz w:val="20"/>
        </w:rPr>
        <w:t>Attribution Parties</w:t>
      </w:r>
      <w:r>
        <w:rPr>
          <w:color w:val="000000"/>
        </w:rPr>
        <w:t xml:space="preserve">” </w:t>
      </w:r>
      <w:r>
        <w:rPr>
          <w:rFonts w:ascii="Times New Roman;serif" w:hAnsi="Times New Roman;serif"/>
          <w:b w:val="false"/>
          <w:color w:val="000000"/>
          <w:sz w:val="20"/>
        </w:rPr>
        <w:t>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Ordinary Shares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pStyle w:val="TextBody"/>
        <w:bidi w:val="0"/>
        <w:spacing w:lineRule="auto" w:line="288" w:before="0" w:after="120"/>
        <w:jc w:val="left"/>
        <w:rPr/>
      </w:pPr>
      <w:r>
        <w:rPr>
          <w:color w:val="000000"/>
        </w:rPr>
        <w:t>“</w:t>
      </w:r>
      <w:r>
        <w:rPr>
          <w:rFonts w:ascii="Times New Roman;serif" w:hAnsi="Times New Roman;serif"/>
          <w:b/>
          <w:i/>
          <w:color w:val="000000"/>
          <w:sz w:val="20"/>
        </w:rPr>
        <w:t>Closing Sale Price</w:t>
      </w:r>
      <w:r>
        <w:rPr>
          <w:color w:val="000000"/>
        </w:rPr>
        <w:t xml:space="preserve">” </w:t>
      </w:r>
      <w:r>
        <w:rPr>
          <w:rFonts w:ascii="Times New Roman;serif" w:hAnsi="Times New Roman;serif"/>
          <w:b w:val="false"/>
          <w:color w:val="000000"/>
          <w:sz w:val="20"/>
        </w:rPr>
        <w:t xml:space="preserve">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share dividend, share split, share combination or other similar transaction during the applicable calculation period. </w:t>
      </w:r>
    </w:p>
    <w:p>
      <w:pPr>
        <w:pStyle w:val="TextBody"/>
        <w:bidi w:val="0"/>
        <w:spacing w:lineRule="auto" w:line="288" w:before="0" w:after="120"/>
        <w:jc w:val="left"/>
        <w:rPr/>
      </w:pPr>
      <w:r>
        <w:rPr>
          <w:color w:val="000000"/>
        </w:rPr>
        <w:t>“</w:t>
      </w:r>
      <w:r>
        <w:rPr>
          <w:rFonts w:ascii="Times New Roman;serif" w:hAnsi="Times New Roman;serif"/>
          <w:b/>
          <w:i/>
          <w:color w:val="000000"/>
          <w:sz w:val="20"/>
        </w:rPr>
        <w:t>Commission</w:t>
      </w:r>
      <w:r>
        <w:rPr>
          <w:color w:val="000000"/>
        </w:rPr>
        <w:t xml:space="preserve">” </w:t>
      </w:r>
      <w:r>
        <w:rPr>
          <w:rFonts w:ascii="Times New Roman;serif" w:hAnsi="Times New Roman;serif"/>
          <w:b w:val="false"/>
          <w:color w:val="000000"/>
          <w:sz w:val="20"/>
        </w:rPr>
        <w:t xml:space="preserve">means the United States Securities and Exchange Commission.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57"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color w:val="000000"/>
        </w:rPr>
        <w:t>“</w:t>
      </w:r>
      <w:r>
        <w:rPr>
          <w:rFonts w:ascii="Times New Roman;serif" w:hAnsi="Times New Roman;serif"/>
          <w:b/>
          <w:i/>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w:t>
      </w:r>
    </w:p>
    <w:p>
      <w:pPr>
        <w:pStyle w:val="TextBody"/>
        <w:bidi w:val="0"/>
        <w:spacing w:lineRule="auto" w:line="288" w:before="0" w:after="120"/>
        <w:jc w:val="left"/>
        <w:rPr/>
      </w:pPr>
      <w:r>
        <w:rPr>
          <w:color w:val="000000"/>
        </w:rPr>
        <w:t>“</w:t>
      </w:r>
      <w:r>
        <w:rPr>
          <w:rFonts w:ascii="Times New Roman;serif" w:hAnsi="Times New Roman;serif"/>
          <w:b/>
          <w:i/>
          <w:color w:val="000000"/>
          <w:sz w:val="20"/>
        </w:rPr>
        <w:t>Group</w:t>
      </w:r>
      <w:r>
        <w:rPr>
          <w:color w:val="000000"/>
        </w:rPr>
        <w:t xml:space="preserve">” </w:t>
      </w:r>
      <w:r>
        <w:rPr>
          <w:rFonts w:ascii="Times New Roman;serif" w:hAnsi="Times New Roman;serif"/>
          <w:b w:val="false"/>
          <w:color w:val="000000"/>
          <w:sz w:val="20"/>
        </w:rPr>
        <w:t>shall have the meaning ascribed to it in Section 13(d) of the Exchange Act, and all related rules, regulations and jurisprudence.</w:t>
      </w:r>
    </w:p>
    <w:p>
      <w:pPr>
        <w:pStyle w:val="TextBody"/>
        <w:bidi w:val="0"/>
        <w:spacing w:lineRule="auto" w:line="288" w:before="0" w:after="120"/>
        <w:jc w:val="left"/>
        <w:rPr/>
      </w:pPr>
      <w:r>
        <w:rPr>
          <w:color w:val="000000"/>
        </w:rPr>
        <w:t>“</w:t>
      </w:r>
      <w:r>
        <w:rPr>
          <w:rFonts w:ascii="Times New Roman;serif" w:hAnsi="Times New Roman;serif"/>
          <w:b/>
          <w:i/>
          <w:color w:val="000000"/>
          <w:sz w:val="20"/>
        </w:rPr>
        <w:t>Person</w:t>
      </w:r>
      <w:r>
        <w:rPr>
          <w:color w:val="000000"/>
        </w:rPr>
        <w:t xml:space="preserve">” </w:t>
      </w:r>
      <w:r>
        <w:rPr>
          <w:rFonts w:ascii="Times New Roman;serif" w:hAnsi="Times New Roman;serif"/>
          <w:b w:val="false"/>
          <w:color w:val="000000"/>
          <w:sz w:val="20"/>
        </w:rPr>
        <w:t>means an individual, a limited liability company, a partnership, a joint venture, a corporation, a trust, an unincorporated organization, any other entity and a government or any department or agency thereof.</w:t>
      </w:r>
    </w:p>
    <w:p>
      <w:pPr>
        <w:pStyle w:val="TextBody"/>
        <w:bidi w:val="0"/>
        <w:spacing w:lineRule="auto" w:line="288" w:before="0" w:after="120"/>
        <w:jc w:val="left"/>
        <w:rPr/>
      </w:pPr>
      <w:r>
        <w:rPr>
          <w:color w:val="000000"/>
        </w:rPr>
        <w:t>“</w:t>
      </w:r>
      <w:r>
        <w:rPr>
          <w:rFonts w:ascii="Times New Roman;serif" w:hAnsi="Times New Roman;serif"/>
          <w:b/>
          <w:i/>
          <w:color w:val="000000"/>
          <w:sz w:val="20"/>
        </w:rPr>
        <w:t>Principal Trading Market</w:t>
      </w:r>
      <w:r>
        <w:rPr>
          <w:color w:val="000000"/>
        </w:rPr>
        <w:t xml:space="preserve">” </w:t>
      </w:r>
      <w:r>
        <w:rPr>
          <w:rFonts w:ascii="Times New Roman;serif" w:hAnsi="Times New Roman;serif"/>
          <w:b w:val="false"/>
          <w:color w:val="000000"/>
          <w:sz w:val="20"/>
        </w:rPr>
        <w:t xml:space="preserve">means the national securities exchange or other trading market on which the Ordinary Shares are primarily listed on and quoted for trading, which, as of the Original Issue Date, shall be the Nasdaq Capital Market. </w:t>
      </w:r>
    </w:p>
    <w:p>
      <w:pPr>
        <w:pStyle w:val="TextBody"/>
        <w:bidi w:val="0"/>
        <w:spacing w:lineRule="auto" w:line="288" w:before="0" w:after="120"/>
        <w:jc w:val="left"/>
        <w:rPr/>
      </w:pPr>
      <w:r>
        <w:rPr>
          <w:color w:val="000000"/>
        </w:rPr>
        <w:t>“</w:t>
      </w:r>
      <w:r>
        <w:rPr>
          <w:rFonts w:ascii="Times New Roman;serif" w:hAnsi="Times New Roman;serif"/>
          <w:b/>
          <w:i/>
          <w:color w:val="000000"/>
          <w:sz w:val="20"/>
        </w:rPr>
        <w:t>Registration Statement</w:t>
      </w:r>
      <w:r>
        <w:rPr>
          <w:color w:val="000000"/>
        </w:rPr>
        <w:t xml:space="preserve">” </w:t>
      </w:r>
      <w:r>
        <w:rPr>
          <w:rFonts w:ascii="Times New Roman;serif" w:hAnsi="Times New Roman;serif"/>
          <w:b w:val="false"/>
          <w:color w:val="000000"/>
          <w:sz w:val="20"/>
        </w:rPr>
        <w:t>means the Company’s Registration Statement on Form S-3 (File No. 333-297199), which was declared effective on June 10, 2026.</w:t>
      </w:r>
    </w:p>
    <w:p>
      <w:pPr>
        <w:pStyle w:val="TextBody"/>
        <w:bidi w:val="0"/>
        <w:spacing w:lineRule="auto" w:line="288" w:before="0" w:after="120"/>
        <w:jc w:val="left"/>
        <w:rPr/>
      </w:pPr>
      <w:r>
        <w:rPr>
          <w:color w:val="000000"/>
        </w:rPr>
        <w:t>“</w:t>
      </w:r>
      <w:r>
        <w:rPr>
          <w:rFonts w:ascii="Times New Roman;serif" w:hAnsi="Times New Roman;serif"/>
          <w:b/>
          <w:i/>
          <w:color w:val="000000"/>
          <w:sz w:val="20"/>
        </w:rPr>
        <w:t>Securities Act</w:t>
      </w:r>
      <w:r>
        <w:rPr>
          <w:color w:val="000000"/>
        </w:rPr>
        <w:t xml:space="preserve">” </w:t>
      </w:r>
      <w:r>
        <w:rPr>
          <w:rFonts w:ascii="Times New Roman;serif" w:hAnsi="Times New Roman;serif"/>
          <w:b w:val="false"/>
          <w:color w:val="000000"/>
          <w:sz w:val="20"/>
        </w:rPr>
        <w:t xml:space="preserve">means the Securities Act of 1933, as amended. </w:t>
      </w:r>
    </w:p>
    <w:p>
      <w:pPr>
        <w:pStyle w:val="TextBody"/>
        <w:bidi w:val="0"/>
        <w:spacing w:lineRule="auto" w:line="288" w:before="0" w:after="120"/>
        <w:jc w:val="left"/>
        <w:rPr/>
      </w:pPr>
      <w:r>
        <w:rPr>
          <w:color w:val="000000"/>
        </w:rPr>
        <w:t>“</w:t>
      </w:r>
      <w:r>
        <w:rPr>
          <w:rFonts w:ascii="Times New Roman;serif" w:hAnsi="Times New Roman;serif"/>
          <w:b/>
          <w:i/>
          <w:color w:val="000000"/>
          <w:sz w:val="20"/>
        </w:rPr>
        <w:t>Standard Settlement Period</w:t>
      </w:r>
      <w:r>
        <w:rPr>
          <w:color w:val="000000"/>
        </w:rPr>
        <w:t xml:space="preserve">” </w:t>
      </w:r>
      <w:r>
        <w:rPr>
          <w:rFonts w:ascii="Times New Roman;serif" w:hAnsi="Times New Roman;serif"/>
          <w:b w:val="false"/>
          <w:color w:val="000000"/>
          <w:sz w:val="20"/>
        </w:rPr>
        <w:t>means the standard settlement period, expressed in a number of Trading Days, for the Principal Trading Market with respect to the Ordinary Shares that is in effect on the date of delivery of an applicable Exercise Notice, which as of the Original Issue Date was “T+1.”</w:t>
      </w:r>
    </w:p>
    <w:p>
      <w:pPr>
        <w:pStyle w:val="TextBody"/>
        <w:bidi w:val="0"/>
        <w:spacing w:lineRule="auto" w:line="288" w:before="0" w:after="120"/>
        <w:jc w:val="left"/>
        <w:rPr/>
      </w:pPr>
      <w:r>
        <w:rPr>
          <w:color w:val="000000"/>
        </w:rPr>
        <w:t>“</w:t>
      </w:r>
      <w:r>
        <w:rPr>
          <w:rFonts w:ascii="Times New Roman;serif" w:hAnsi="Times New Roman;serif"/>
          <w:b/>
          <w:i/>
          <w:color w:val="000000"/>
          <w:sz w:val="20"/>
        </w:rPr>
        <w:t>Trading Day</w:t>
      </w:r>
      <w:r>
        <w:rPr>
          <w:color w:val="000000"/>
        </w:rPr>
        <w:t xml:space="preserve">” </w:t>
      </w:r>
      <w:r>
        <w:rPr>
          <w:rFonts w:ascii="Times New Roman;serif" w:hAnsi="Times New Roman;serif"/>
          <w:b w:val="false"/>
          <w:color w:val="000000"/>
          <w:sz w:val="20"/>
        </w:rPr>
        <w:t xml:space="preserve">means any weekday on which the Principal Trading Market is normally open for trading. </w:t>
      </w:r>
    </w:p>
    <w:p>
      <w:pPr>
        <w:pStyle w:val="TextBody"/>
        <w:bidi w:val="0"/>
        <w:spacing w:lineRule="auto" w:line="288" w:before="0" w:after="120"/>
        <w:jc w:val="left"/>
        <w:rPr/>
      </w:pPr>
      <w:r>
        <w:rPr>
          <w:color w:val="000000"/>
        </w:rPr>
        <w:t>“</w:t>
      </w:r>
      <w:r>
        <w:rPr>
          <w:rFonts w:ascii="Times New Roman;serif" w:hAnsi="Times New Roman;serif"/>
          <w:b/>
          <w:i/>
          <w:color w:val="000000"/>
          <w:sz w:val="20"/>
        </w:rPr>
        <w:t>Transfer Agent</w:t>
      </w:r>
      <w:r>
        <w:rPr>
          <w:color w:val="000000"/>
        </w:rPr>
        <w:t xml:space="preserve">” </w:t>
      </w:r>
      <w:r>
        <w:rPr>
          <w:rFonts w:ascii="Times New Roman;serif" w:hAnsi="Times New Roman;serif"/>
          <w:b w:val="false"/>
          <w:color w:val="000000"/>
          <w:sz w:val="20"/>
        </w:rPr>
        <w:t xml:space="preserve">means Computershare Trust Company, N.A., the Company’s transfer agent and registrar for the Ordinary Shares, and any successor appointed in such capacity. </w:t>
      </w:r>
    </w:p>
    <w:p>
      <w:pPr>
        <w:pStyle w:val="TextBody"/>
        <w:bidi w:val="0"/>
        <w:spacing w:lineRule="auto" w:line="288" w:before="0" w:after="120"/>
        <w:jc w:val="left"/>
        <w:rPr/>
      </w:pPr>
      <w:r>
        <w:rPr>
          <w:rFonts w:ascii="Times New Roman;serif" w:hAnsi="Times New Roman;serif"/>
          <w:b w:val="false"/>
          <w:color w:val="000000"/>
          <w:sz w:val="20"/>
        </w:rPr>
        <w:t xml:space="preserve">2. </w:t>
      </w:r>
      <w:r>
        <w:rPr>
          <w:rFonts w:ascii="Times New Roman;serif" w:hAnsi="Times New Roman;serif"/>
          <w:b w:val="false"/>
          <w:i/>
          <w:color w:val="000000"/>
          <w:sz w:val="20"/>
        </w:rPr>
        <w:t>Issuance of Securities; Registration of Warrants</w:t>
      </w:r>
      <w:r>
        <w:rPr>
          <w:rFonts w:ascii="Times New Roman;serif" w:hAnsi="Times New Roman;serif"/>
          <w:b w:val="false"/>
          <w:color w:val="000000"/>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serif" w:hAnsi="Times New Roman;serif"/>
          <w:b/>
          <w:i/>
          <w:color w:val="000000"/>
          <w:sz w:val="20"/>
        </w:rPr>
        <w:t>Warrant Register</w:t>
      </w:r>
      <w:r>
        <w:rPr>
          <w:color w:val="000000"/>
        </w:rPr>
        <w:t>”</w:t>
      </w:r>
      <w:r>
        <w:rPr>
          <w:rFonts w:ascii="Times New Roman;serif" w:hAnsi="Times New Roman;serif"/>
          <w:b w:val="false"/>
          <w:color w:val="000000"/>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lineRule="auto" w:line="288" w:before="0" w:after="120"/>
        <w:jc w:val="left"/>
        <w:rPr/>
      </w:pPr>
      <w:r>
        <w:rPr>
          <w:rFonts w:ascii="Times New Roman;serif" w:hAnsi="Times New Roman;serif"/>
          <w:b w:val="false"/>
          <w:color w:val="000000"/>
          <w:sz w:val="20"/>
        </w:rPr>
        <w:t xml:space="preserve">3. </w:t>
      </w:r>
      <w:r>
        <w:rPr>
          <w:rFonts w:ascii="Times New Roman;serif" w:hAnsi="Times New Roman;serif"/>
          <w:b w:val="false"/>
          <w:i/>
          <w:color w:val="000000"/>
          <w:sz w:val="20"/>
        </w:rPr>
        <w:t>Registration of Transfers</w:t>
      </w:r>
      <w:r>
        <w:rPr>
          <w:rFonts w:ascii="Times New Roman;serif" w:hAnsi="Times New Roman;serif"/>
          <w:b w:val="false"/>
          <w:color w:val="000000"/>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Ordinary Shares in substantially the form of this Warrant (any such new warrant, a “</w:t>
      </w:r>
      <w:r>
        <w:rPr>
          <w:rFonts w:ascii="Times New Roman;serif" w:hAnsi="Times New Roman;serif"/>
          <w:b/>
          <w:i/>
          <w:color w:val="000000"/>
          <w:sz w:val="20"/>
        </w:rPr>
        <w:t>New Warrant</w:t>
      </w:r>
      <w:r>
        <w:rPr>
          <w:color w:val="000000"/>
        </w:rPr>
        <w:t>”</w:t>
      </w:r>
      <w:r>
        <w:rPr>
          <w:rFonts w:ascii="Times New Roman;serif" w:hAnsi="Times New Roman;serif"/>
          <w:b w:val="false"/>
          <w:color w:val="000000"/>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serif" w:hAnsi="Times New Roman;serif"/>
          <w:b w:val="false"/>
          <w:color w:val="000000"/>
          <w:sz w:val="20"/>
          <w:u w:val="single"/>
        </w:rPr>
        <w:t>Section 3</w:t>
      </w:r>
      <w:r>
        <w:rPr>
          <w:rFonts w:ascii="Times New Roman;serif" w:hAnsi="Times New Roman;serif"/>
          <w:b w:val="false"/>
          <w:color w:val="000000"/>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lineRule="auto" w:line="288" w:before="0" w:after="120"/>
        <w:jc w:val="left"/>
        <w:rPr/>
      </w:pPr>
      <w:r>
        <w:rPr>
          <w:rFonts w:ascii="Times New Roman;serif" w:hAnsi="Times New Roman;serif"/>
          <w:b w:val="false"/>
          <w:color w:val="000000"/>
          <w:sz w:val="20"/>
        </w:rPr>
        <w:t xml:space="preserve">4. </w:t>
      </w:r>
      <w:r>
        <w:rPr>
          <w:rFonts w:ascii="Times New Roman;serif" w:hAnsi="Times New Roman;serif"/>
          <w:b w:val="false"/>
          <w:i/>
          <w:color w:val="000000"/>
          <w:sz w:val="20"/>
        </w:rPr>
        <w:t>Exercise of Warrants</w:t>
      </w:r>
      <w:r>
        <w:rPr>
          <w:rFonts w:ascii="Times New Roman;serif" w:hAnsi="Times New Roman;serif"/>
          <w:b w:val="false"/>
          <w:color w:val="000000"/>
          <w:sz w:val="2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All or any part of this Warrant shall be exercisable by the registered Holder in any manner permitted by this Warrant (including Section 11) at any time and from time to time on or after the Original Issue Date, and such rights shall not expire until the Warrant has been exercised in full. </w:t>
      </w:r>
    </w:p>
    <w:p>
      <w:pPr>
        <w:pStyle w:val="TextBody"/>
        <w:bidi w:val="0"/>
        <w:spacing w:lineRule="auto" w:line="288" w:before="0" w:after="120"/>
        <w:jc w:val="left"/>
        <w:rPr/>
      </w:pPr>
      <w:r>
        <w:rPr>
          <w:rFonts w:ascii="Times New Roman;serif" w:hAnsi="Times New Roman;serif"/>
          <w:b w:val="false"/>
          <w:color w:val="000000"/>
          <w:sz w:val="20"/>
        </w:rPr>
        <w:t xml:space="preserve">(b) The Holder may exercise this Warrant by delivering to the Company (i) an exercise notice, in the form attached as </w:t>
      </w:r>
      <w:r>
        <w:rPr>
          <w:rFonts w:ascii="Times New Roman;serif" w:hAnsi="Times New Roman;serif"/>
          <w:b w:val="false"/>
          <w:color w:val="000000"/>
          <w:sz w:val="20"/>
          <w:u w:val="single"/>
        </w:rPr>
        <w:t>Schedule 1</w:t>
      </w:r>
      <w:r>
        <w:rPr>
          <w:color w:val="000000"/>
        </w:rPr>
        <w:t xml:space="preserve"> </w:t>
      </w:r>
      <w:r>
        <w:rPr>
          <w:rFonts w:ascii="Times New Roman;serif" w:hAnsi="Times New Roman;serif"/>
          <w:b w:val="false"/>
          <w:color w:val="000000"/>
          <w:sz w:val="20"/>
        </w:rPr>
        <w:t>hereto (the “</w:t>
      </w:r>
      <w:r>
        <w:rPr>
          <w:rFonts w:ascii="Times New Roman;serif" w:hAnsi="Times New Roman;serif"/>
          <w:b/>
          <w:i/>
          <w:color w:val="000000"/>
          <w:sz w:val="20"/>
        </w:rPr>
        <w:t>Exercise Notice</w:t>
      </w:r>
      <w:r>
        <w:rPr>
          <w:color w:val="000000"/>
        </w:rPr>
        <w:t>”</w:t>
      </w:r>
      <w:r>
        <w:rPr>
          <w:rFonts w:ascii="Times New Roman;serif" w:hAnsi="Times New Roman;serif"/>
          <w:b w:val="false"/>
          <w:color w:val="000000"/>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serif" w:hAnsi="Times New Roman;serif"/>
          <w:b w:val="false"/>
          <w:color w:val="000000"/>
          <w:sz w:val="20"/>
          <w:u w:val="single"/>
        </w:rPr>
        <w:t>Section 10</w:t>
      </w:r>
      <w:r>
        <w:rPr>
          <w:color w:val="000000"/>
        </w:rPr>
        <w:t xml:space="preserve"> </w:t>
      </w:r>
      <w:r>
        <w:rPr>
          <w:rFonts w:ascii="Times New Roman;serif" w:hAnsi="Times New Roman;serif"/>
          <w:b w:val="false"/>
          <w:color w:val="000000"/>
          <w:sz w:val="20"/>
        </w:rPr>
        <w:t xml:space="preserve">below), and the date on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26415"/>
                <wp:effectExtent l="0" t="0" r="0" b="0"/>
                <wp:wrapNone/>
                <wp:docPr id="58" name="Frame5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 xml:space="preserve">last of such items is delivered to the Company (as determined in accordance with the notice provisions hereof) is an </w:t>
      </w:r>
      <w:r>
        <w:rPr>
          <w:color w:val="000000"/>
        </w:rPr>
        <w:t>“</w:t>
      </w:r>
      <w:r>
        <w:rPr>
          <w:rFonts w:ascii="Times New Roman;serif" w:hAnsi="Times New Roman;serif"/>
          <w:b/>
          <w:i/>
          <w:color w:val="000000"/>
          <w:sz w:val="20"/>
        </w:rPr>
        <w:t>Exercise Date</w:t>
      </w:r>
      <w:r>
        <w:rPr>
          <w:rFonts w:ascii="Times New Roman;serif" w:hAnsi="Times New Roman;serif"/>
          <w:b w:val="false"/>
          <w:color w:val="000000"/>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p>
    <w:p>
      <w:pPr>
        <w:pStyle w:val="TextBody"/>
        <w:bidi w:val="0"/>
        <w:spacing w:lineRule="auto" w:line="288" w:before="0" w:after="120"/>
        <w:jc w:val="left"/>
        <w:rPr/>
      </w:pPr>
      <w:r>
        <w:rPr>
          <w:rFonts w:ascii="Times New Roman;serif" w:hAnsi="Times New Roman;serif"/>
          <w:b w:val="false"/>
          <w:color w:val="000000"/>
          <w:sz w:val="20"/>
        </w:rPr>
        <w:t xml:space="preserve">5. </w:t>
      </w:r>
      <w:r>
        <w:rPr>
          <w:rFonts w:ascii="Times New Roman;serif" w:hAnsi="Times New Roman;serif"/>
          <w:b w:val="false"/>
          <w:i/>
          <w:color w:val="000000"/>
          <w:sz w:val="20"/>
        </w:rPr>
        <w:t>Delivery of Warrant Shares</w:t>
      </w:r>
      <w:r>
        <w:rPr>
          <w:rFonts w:ascii="Times New Roman;serif" w:hAnsi="Times New Roman;serif"/>
          <w:b w:val="false"/>
          <w:color w:val="000000"/>
          <w:sz w:val="20"/>
        </w:rPr>
        <w:t xml:space="preserve">. </w:t>
      </w:r>
    </w:p>
    <w:p>
      <w:pPr>
        <w:pStyle w:val="TextBody"/>
        <w:bidi w:val="0"/>
        <w:spacing w:lineRule="auto" w:line="288" w:before="0" w:after="120"/>
        <w:jc w:val="left"/>
        <w:rPr/>
      </w:pPr>
      <w:r>
        <w:rPr>
          <w:rFonts w:ascii="Times New Roman;serif" w:hAnsi="Times New Roman;serif"/>
          <w:b w:val="false"/>
          <w:color w:val="000000"/>
          <w:sz w:val="20"/>
        </w:rPr>
        <w:t>(a) Upon exercise of this Warrant, the Company shall promptly (but in no event later than the number of Trading Days comprising the Standard Settlement Period following the Exercise Date), upon the request of the Holder, credit such aggregate number of Ordinary Shares specified by the Holder in the Exercise Notice and to which the Holder is entitled pursuant to such exercise (the “</w:t>
      </w:r>
      <w:r>
        <w:rPr>
          <w:rFonts w:ascii="Times New Roman;serif" w:hAnsi="Times New Roman;serif"/>
          <w:b/>
          <w:i/>
          <w:color w:val="000000"/>
          <w:sz w:val="20"/>
        </w:rPr>
        <w:t>Exercise Shares</w:t>
      </w:r>
      <w:r>
        <w:rPr>
          <w:color w:val="000000"/>
        </w:rPr>
        <w:t>”</w:t>
      </w:r>
      <w:r>
        <w:rPr>
          <w:rFonts w:ascii="Times New Roman;serif" w:hAnsi="Times New Roman;serif"/>
          <w:b w:val="false"/>
          <w:color w:val="000000"/>
          <w:sz w:val="20"/>
        </w:rPr>
        <w:t>) to the Holder’s or its designee’s balance account with The Depository Trust Company (“</w:t>
      </w:r>
      <w:r>
        <w:rPr>
          <w:rFonts w:ascii="Times New Roman;serif" w:hAnsi="Times New Roman;serif"/>
          <w:b/>
          <w:i/>
          <w:color w:val="000000"/>
          <w:sz w:val="20"/>
        </w:rPr>
        <w:t>DTC</w:t>
      </w:r>
      <w:r>
        <w:rPr>
          <w:color w:val="000000"/>
        </w:rPr>
        <w:t>”</w:t>
      </w:r>
      <w:r>
        <w:rPr>
          <w:rFonts w:ascii="Times New Roman;serif" w:hAnsi="Times New Roman;serif"/>
          <w:b w:val="false"/>
          <w:color w:val="000000"/>
          <w:sz w:val="20"/>
        </w:rPr>
        <w:t>) through its Deposit Withdrawal At Custodian system, or if the Transfer Agent is then a participant in the DTC Fast Automated Securities Transfer Program (the “</w:t>
      </w:r>
      <w:r>
        <w:rPr>
          <w:rFonts w:ascii="Times New Roman;serif" w:hAnsi="Times New Roman;serif"/>
          <w:b/>
          <w:i/>
          <w:color w:val="000000"/>
          <w:sz w:val="20"/>
        </w:rPr>
        <w:t>FAST Program</w:t>
      </w:r>
      <w:r>
        <w:rPr>
          <w:color w:val="000000"/>
        </w:rPr>
        <w:t>”</w:t>
      </w:r>
      <w:r>
        <w:rPr>
          <w:rFonts w:ascii="Times New Roman;serif" w:hAnsi="Times New Roman;serif"/>
          <w:b w:val="false"/>
          <w:color w:val="000000"/>
          <w:sz w:val="20"/>
        </w:rPr>
        <w:t xml:space="preserve">). If the Transfer Agent is not a member of the FAST Program,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in the Company's share register or the date of delivery of the certificates evidencing such Exercise Shares, as the case may be. </w:t>
      </w:r>
    </w:p>
    <w:p>
      <w:pPr>
        <w:pStyle w:val="TextBody"/>
        <w:bidi w:val="0"/>
        <w:spacing w:lineRule="auto" w:line="288" w:before="0" w:after="120"/>
        <w:jc w:val="left"/>
        <w:rPr/>
      </w:pPr>
      <w:r>
        <w:rPr>
          <w:rFonts w:ascii="Times New Roman;serif" w:hAnsi="Times New Roman;serif"/>
          <w:b w:val="false"/>
          <w:color w:val="000000"/>
          <w:sz w:val="20"/>
        </w:rPr>
        <w:t>(b) If the Company fails to deliver to the Holder or its designee Exercise Shares in the manner required pursuant to </w:t>
      </w:r>
      <w:r>
        <w:rPr>
          <w:rFonts w:ascii="Times New Roman;serif" w:hAnsi="Times New Roman;serif"/>
          <w:b w:val="false"/>
          <w:color w:val="000000"/>
          <w:sz w:val="20"/>
          <w:u w:val="single"/>
        </w:rPr>
        <w:t>Section 5(a)</w:t>
      </w:r>
      <w:r>
        <w:rPr>
          <w:color w:val="000000"/>
        </w:rPr>
        <w:t> </w:t>
      </w:r>
      <w:r>
        <w:rPr>
          <w:rFonts w:ascii="Times New Roman;serif" w:hAnsi="Times New Roman;serif"/>
          <w:b w:val="false"/>
          <w:color w:val="000000"/>
          <w:sz w:val="20"/>
        </w:rPr>
        <w:t>within the Standard Settlement Period following the Exercise Date (other than a failure solely caused by incorrect or incomplete information provided by the Holder to the Company) and the Holder purchases (in an open market transaction or otherwise) Ordinary Shares to deliver in satisfaction of a sale by the Holder of the Warrant Shares which the Holder anticipated receiving upon such exercise (a “</w:t>
      </w:r>
      <w:r>
        <w:rPr>
          <w:rFonts w:ascii="Times New Roman;serif" w:hAnsi="Times New Roman;serif"/>
          <w:b/>
          <w:i/>
          <w:color w:val="000000"/>
          <w:sz w:val="20"/>
        </w:rPr>
        <w:t>Buy-In</w:t>
      </w:r>
      <w:r>
        <w:rPr>
          <w:color w:val="000000"/>
        </w:rPr>
        <w:t>”</w:t>
      </w:r>
      <w:r>
        <w:rPr>
          <w:rFonts w:ascii="Times New Roman;serif" w:hAnsi="Times New Roman;serif"/>
          <w:b w:val="false"/>
          <w:color w:val="000000"/>
          <w:sz w:val="20"/>
        </w:rPr>
        <w:t>) but did not receive within the Standard Settlement Period, then the Company shall, within two (2) Trading Days after the Holder’s request, (1) pay in cash to the Holder the amount, if any, by which (x) the Holder’s total purchase price (including brokerage commissions, if any) for the Ordinary Shares so purchased in the Buy-In exceeds (y) the amount obtained by multiplying (A) the number of Warrant Shares that the Company was required to deliver to the Holder in connection with the exercise at issue times (B) the Closing Sale Price of an Ordinary Share on the Exercise Date, and (2)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w:t>
      </w:r>
    </w:p>
    <w:p>
      <w:pPr>
        <w:pStyle w:val="TextBody"/>
        <w:bidi w:val="0"/>
        <w:spacing w:lineRule="auto" w:line="288" w:before="0" w:after="120"/>
        <w:jc w:val="left"/>
        <w:rPr/>
      </w:pPr>
      <w:r>
        <w:rPr>
          <w:rFonts w:ascii="Times New Roman;serif" w:hAnsi="Times New Roman;serif"/>
          <w:b w:val="false"/>
          <w:color w:val="000000"/>
          <w:sz w:val="20"/>
        </w:rPr>
        <w:t xml:space="preserve">(c) To the extent permitted by law and subject to Section 5(b), the Company’s obligations to issue and deliver Warrant Shares in accordance with and subject to the terms hereof (including the limitations set forth in </w:t>
      </w:r>
      <w:r>
        <w:rPr>
          <w:rFonts w:ascii="Times New Roman;serif" w:hAnsi="Times New Roman;serif"/>
          <w:b w:val="false"/>
          <w:color w:val="000000"/>
          <w:sz w:val="20"/>
          <w:u w:val="single"/>
        </w:rPr>
        <w:t>Section 11</w:t>
      </w:r>
      <w:r>
        <w:rPr>
          <w:color w:val="000000"/>
        </w:rPr>
        <w:t xml:space="preserve"> </w:t>
      </w:r>
      <w:r>
        <w:rPr>
          <w:rFonts w:ascii="Times New Roman;serif" w:hAnsi="Times New Roman;serif"/>
          <w:b w:val="false"/>
          <w:color w:val="000000"/>
          <w:sz w:val="20"/>
        </w:rPr>
        <w:t xml:space="preserve">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Exercise Shares. </w:t>
      </w:r>
    </w:p>
    <w:p>
      <w:pPr>
        <w:pStyle w:val="TextBody"/>
        <w:bidi w:val="0"/>
        <w:spacing w:lineRule="auto" w:line="288" w:before="0" w:after="120"/>
        <w:jc w:val="left"/>
        <w:rPr/>
      </w:pPr>
      <w:r>
        <w:rPr>
          <w:rFonts w:ascii="Times New Roman;serif" w:hAnsi="Times New Roman;serif"/>
          <w:b w:val="false"/>
          <w:color w:val="000000"/>
          <w:sz w:val="20"/>
        </w:rPr>
        <w:t xml:space="preserve">6. </w:t>
      </w:r>
      <w:r>
        <w:rPr>
          <w:rFonts w:ascii="Times New Roman;serif" w:hAnsi="Times New Roman;serif"/>
          <w:b w:val="false"/>
          <w:i/>
          <w:color w:val="000000"/>
          <w:sz w:val="20"/>
        </w:rPr>
        <w:t>Charges, Taxes and Expenses</w:t>
      </w:r>
      <w:r>
        <w:rPr>
          <w:rFonts w:ascii="Times New Roman;serif" w:hAnsi="Times New Roman;serif"/>
          <w:b w:val="false"/>
          <w:color w:val="000000"/>
          <w:sz w:val="20"/>
        </w:rPr>
        <w:t xml:space="preserve">. Issuance and delivery of Exercise Shares upon exercise of this Warrant shall be made without charge to the Holder for any issue or transfer tax, transfer agent fee or other incidental tax or expense (excluding any applicable stamp duties) in respect of the issuance of such shares, all of which taxes and expenses shall be paid by the Company;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the Company shall not be required to pay any tax that may be payable in respect of any transfer involved in the registration of any Warrant Shares or the Warrants in a name other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26415"/>
                <wp:effectExtent l="0" t="0" r="0" b="0"/>
                <wp:wrapNone/>
                <wp:docPr id="59" name="Frame5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lineRule="auto" w:line="288" w:before="0" w:after="120"/>
        <w:jc w:val="left"/>
        <w:rPr/>
      </w:pPr>
      <w:r>
        <w:rPr>
          <w:rFonts w:ascii="Times New Roman;serif" w:hAnsi="Times New Roman;serif"/>
          <w:b w:val="false"/>
          <w:color w:val="000000"/>
          <w:sz w:val="20"/>
        </w:rPr>
        <w:t xml:space="preserve">7. </w:t>
      </w:r>
      <w:r>
        <w:rPr>
          <w:rFonts w:ascii="Times New Roman;serif" w:hAnsi="Times New Roman;serif"/>
          <w:b w:val="false"/>
          <w:i/>
          <w:color w:val="000000"/>
          <w:sz w:val="20"/>
        </w:rPr>
        <w:t>Replacement of Warrant</w:t>
      </w:r>
      <w:r>
        <w:rPr>
          <w:rFonts w:ascii="Times New Roman;serif" w:hAnsi="Times New Roman;serif"/>
          <w:b w:val="false"/>
          <w:color w:val="000000"/>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lineRule="auto" w:line="288" w:before="0" w:after="120"/>
        <w:jc w:val="left"/>
        <w:rPr/>
      </w:pPr>
      <w:r>
        <w:rPr>
          <w:rFonts w:ascii="Times New Roman;serif" w:hAnsi="Times New Roman;serif"/>
          <w:b w:val="false"/>
          <w:color w:val="000000"/>
          <w:sz w:val="20"/>
        </w:rPr>
        <w:t xml:space="preserve">8. </w:t>
      </w:r>
      <w:r>
        <w:rPr>
          <w:rFonts w:ascii="Times New Roman;serif" w:hAnsi="Times New Roman;serif"/>
          <w:b w:val="false"/>
          <w:i/>
          <w:color w:val="000000"/>
          <w:sz w:val="20"/>
        </w:rPr>
        <w:t>Reservation of Warrant Shares</w:t>
      </w:r>
      <w:r>
        <w:rPr>
          <w:rFonts w:ascii="Times New Roman;serif" w:hAnsi="Times New Roman;serif"/>
          <w:b w:val="false"/>
          <w:color w:val="000000"/>
          <w:sz w:val="20"/>
        </w:rPr>
        <w:t xml:space="preserve">. The Company covenants that it will, at all times while this Warrant is outstanding, reserve and keep available out of the aggregate of its authorized but unissued and otherwise unreserved Ordinary Shares,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serif" w:hAnsi="Times New Roman;serif"/>
          <w:b w:val="false"/>
          <w:color w:val="000000"/>
          <w:sz w:val="20"/>
          <w:u w:val="single"/>
        </w:rPr>
        <w:t>Section 9</w:t>
      </w:r>
      <w:r>
        <w:rPr>
          <w:rFonts w:ascii="Times New Roman;serif" w:hAnsi="Times New Roman;serif"/>
          <w:b w:val="false"/>
          <w:color w:val="000000"/>
          <w:sz w:val="20"/>
        </w:rPr>
        <w:t>). The Company covenants that all Warrant Shares so issuable and deliverable shall, upon issuance and the payment of the applicable Exercise Price in accordance with the terms hereof</w:t>
      </w:r>
      <w:r>
        <w:rPr>
          <w:color w:val="000000"/>
        </w:rPr>
        <w:t xml:space="preserve"> </w:t>
      </w:r>
      <w:r>
        <w:rPr>
          <w:rFonts w:ascii="Times New Roman;serif" w:hAnsi="Times New Roman;serif"/>
          <w:b w:val="false"/>
          <w:color w:val="000000"/>
          <w:sz w:val="20"/>
        </w:rPr>
        <w:t xml:space="preserve">and the Company's share register being updated by its transfer agent to reflect the issuance of such Warrant Shares, be duly and validly authorized, issued, and fully paid and non-assessable. The Company will take all such action as may be reasonably necessary to assure that such Ordinary Shares may be issued as provided herein without violation of any applicable law or regulation, or of any requirements of any securities exchange or automated quotation system upon which the Ordinary Shares may be listed. The Company further covenants that it will not, without the prior written consent of the Holder, take any actions to increase the par value of the Ordinary Shares at any time while this Warrant is outstanding. </w:t>
      </w:r>
    </w:p>
    <w:p>
      <w:pPr>
        <w:pStyle w:val="TextBody"/>
        <w:bidi w:val="0"/>
        <w:spacing w:lineRule="auto" w:line="288" w:before="0" w:after="120"/>
        <w:jc w:val="left"/>
        <w:rPr/>
      </w:pPr>
      <w:r>
        <w:rPr>
          <w:rFonts w:ascii="Times New Roman;serif" w:hAnsi="Times New Roman;serif"/>
          <w:b w:val="false"/>
          <w:color w:val="000000"/>
          <w:sz w:val="20"/>
        </w:rPr>
        <w:t xml:space="preserve">9. </w:t>
      </w:r>
      <w:r>
        <w:rPr>
          <w:rFonts w:ascii="Times New Roman;serif" w:hAnsi="Times New Roman;serif"/>
          <w:b w:val="false"/>
          <w:i/>
          <w:color w:val="000000"/>
          <w:sz w:val="20"/>
        </w:rPr>
        <w:t>Certain Adjustments</w:t>
      </w:r>
      <w:r>
        <w:rPr>
          <w:rFonts w:ascii="Times New Roman;serif" w:hAnsi="Times New Roman;serif"/>
          <w:b w:val="false"/>
          <w:color w:val="000000"/>
          <w:sz w:val="20"/>
        </w:rPr>
        <w:t xml:space="preserve">. The Exercise Price and number of Warrant Shares issuable upon exercise of this Warrant are subject to adjustment from time to time as set forth in this </w:t>
      </w:r>
      <w:r>
        <w:rPr>
          <w:rFonts w:ascii="Times New Roman;serif" w:hAnsi="Times New Roman;serif"/>
          <w:b w:val="false"/>
          <w:color w:val="000000"/>
          <w:sz w:val="20"/>
          <w:u w:val="single"/>
        </w:rPr>
        <w:t>Section 9</w:t>
      </w:r>
      <w:r>
        <w:rPr>
          <w:rFonts w:ascii="Times New Roman;serif" w:hAnsi="Times New Roman;serif"/>
          <w:b w:val="false"/>
          <w:color w:val="000000"/>
          <w:sz w:val="2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Share Dividends and Splits</w:t>
      </w:r>
      <w:r>
        <w:rPr>
          <w:rFonts w:ascii="Times New Roman;serif" w:hAnsi="Times New Roman;serif"/>
          <w:b w:val="false"/>
          <w:color w:val="000000"/>
          <w:sz w:val="20"/>
        </w:rPr>
        <w:t xml:space="preserve">. If the Company, at any time while this Warrant is outstanding, (i) pays a share dividend on its Ordinary Shares or otherwise makes a distribution on any class of share capital issued and outstanding on the Original Issue Date and in accordance with the terms of such shares on the Original Issue Date or as amended, that is payable in Ordinary Shares, (ii) subdivides its outstanding Ordinary Shares into a larger number of Ordinary Shares, (iii) combines its outstanding Ordinary Shares into a smaller number of Ordinary Shares or (iv) issues by reclassification of shares any additional Ordinary Shares of the Company, then in each such case the number of Warrant Shares and Exercise Price shall be multiplied by a fraction, the numerator of which shall be the number of Ordinary Shares outstanding immediately before such event and the denominator of which shall be the number of Ordinary Shares outstanding immediately after such event. Any adjustment made pursuant to clause (i) of this paragraph shall become effective immediately after the record date for the determination of shareholders entitled to receive such dividend or distribution,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if such record date shall have been fixed and such dividend is not fully paid on the date fixed therefor, the number of Warrant Shares and Exercise Price shall be recomputed accordingly as of the close of business on such record date and thereafter the number of Warrant Shares and Exercise Price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lineRule="auto" w:line="288" w:before="0" w:after="12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Pro Rata Distributions</w:t>
      </w:r>
      <w:r>
        <w:rPr>
          <w:rFonts w:ascii="Times New Roman;serif" w:hAnsi="Times New Roman;serif"/>
          <w:b w:val="false"/>
          <w:color w:val="000000"/>
          <w:sz w:val="20"/>
        </w:rPr>
        <w:t xml:space="preserve">. If, on or after the Original Issue Date, the Company shall declare or make any dividend or other pro rata distribution of its assets (or rights to acquire its assets) to holders of Ordinary Shares, by way of return of capital or otherwise (including, without limitation, any distribution of cash, share or other securities, property, options, evidence of indebtedness or any other assets by way of a dividend, spin off, reclassification, corporate rearrangement, scheme of arrangement or other similar transaction, but, for the avoidance of doubt, excluding any distribution of Ordinary Shares subject to </w:t>
      </w:r>
      <w:r>
        <w:rPr>
          <w:rFonts w:ascii="Times New Roman;serif" w:hAnsi="Times New Roman;serif"/>
          <w:b w:val="false"/>
          <w:color w:val="000000"/>
          <w:sz w:val="20"/>
          <w:u w:val="single"/>
        </w:rPr>
        <w:t>Section 9(a)</w:t>
      </w:r>
      <w:r>
        <w:rPr>
          <w:rFonts w:ascii="Times New Roman;serif" w:hAnsi="Times New Roman;serif"/>
          <w:b w:val="false"/>
          <w:color w:val="000000"/>
          <w:sz w:val="20"/>
        </w:rPr>
        <w:t xml:space="preserve">, any distribution of Purchase Rights (as defined below) subject to </w:t>
      </w:r>
      <w:r>
        <w:rPr>
          <w:rFonts w:ascii="Times New Roman;serif" w:hAnsi="Times New Roman;serif"/>
          <w:b w:val="false"/>
          <w:color w:val="000000"/>
          <w:sz w:val="20"/>
          <w:u w:val="single"/>
        </w:rPr>
        <w:t>Section 9(c)</w:t>
      </w:r>
      <w:r>
        <w:rPr>
          <w:color w:val="000000"/>
        </w:rPr>
        <w:t xml:space="preserve"> </w:t>
      </w:r>
      <w:r>
        <w:rPr>
          <w:rFonts w:ascii="Times New Roman;serif" w:hAnsi="Times New Roman;serif"/>
          <w:b w:val="false"/>
          <w:color w:val="000000"/>
          <w:sz w:val="20"/>
        </w:rPr>
        <w:t xml:space="preserve">and any Fundamental Transaction (as defined below) subject to </w:t>
      </w:r>
      <w:r>
        <w:rPr>
          <w:rFonts w:ascii="Times New Roman;serif" w:hAnsi="Times New Roman;serif"/>
          <w:b w:val="false"/>
          <w:color w:val="000000"/>
          <w:sz w:val="20"/>
          <w:u w:val="single"/>
        </w:rPr>
        <w:t>Section 9(d))</w:t>
      </w:r>
      <w:r>
        <w:rPr>
          <w:color w:val="000000"/>
        </w:rPr>
        <w:t xml:space="preserve"> </w:t>
      </w:r>
      <w:r>
        <w:rPr>
          <w:rFonts w:ascii="Times New Roman;serif" w:hAnsi="Times New Roman;serif"/>
          <w:b w:val="false"/>
          <w:color w:val="000000"/>
          <w:sz w:val="20"/>
        </w:rPr>
        <w:t>(a “</w:t>
      </w:r>
      <w:r>
        <w:rPr>
          <w:rFonts w:ascii="Times New Roman;serif" w:hAnsi="Times New Roman;serif"/>
          <w:b/>
          <w:i/>
          <w:color w:val="000000"/>
          <w:sz w:val="20"/>
        </w:rPr>
        <w:t>Distribution</w:t>
      </w:r>
      <w:r>
        <w:rPr>
          <w:color w:val="000000"/>
        </w:rPr>
        <w:t>”</w:t>
      </w:r>
      <w:r>
        <w:rPr>
          <w:rFonts w:ascii="Times New Roman;serif" w:hAnsi="Times New Roman;serif"/>
          <w:b w:val="false"/>
          <w:color w:val="000000"/>
          <w:sz w:val="20"/>
        </w:rPr>
        <w:t xml:space="preserve">)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or restrictions on exercise of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26415"/>
                <wp:effectExtent l="0" t="0" r="0" b="0"/>
                <wp:wrapNone/>
                <wp:docPr id="60" name="Frame6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this Warrant, including without limitation, the Maximum Percentage (as defined below)) immediately before the date on which a record is taken for such Distribution, or, if no such record is taken, the date as of which the record holders of Ordinary Shares are to be determined for the participation in such Distribution (</w:t>
      </w:r>
      <w:r>
        <w:rPr>
          <w:rFonts w:ascii="Times New Roman;serif" w:hAnsi="Times New Roman;serif"/>
          <w:b w:val="false"/>
          <w:i/>
          <w:color w:val="000000"/>
          <w:sz w:val="20"/>
        </w:rPr>
        <w:t>provided</w:t>
      </w:r>
      <w:r>
        <w:rPr>
          <w:rFonts w:ascii="Times New Roman;serif" w:hAnsi="Times New Roman;serif"/>
          <w:b w:val="false"/>
          <w:color w:val="000000"/>
          <w:sz w:val="20"/>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Ordinary Shares as a result of such Distribution (and beneficial ownership) to such extent) and such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lineRule="auto" w:line="288" w:before="0" w:after="12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Purchase Rights</w:t>
      </w:r>
      <w:r>
        <w:rPr>
          <w:rFonts w:ascii="Times New Roman;serif" w:hAnsi="Times New Roman;serif"/>
          <w:b w:val="false"/>
          <w:color w:val="000000"/>
          <w:sz w:val="20"/>
        </w:rPr>
        <w:t>. If at any time on or after the Original Issue Date, the Company grants, issues or sells any Options (as defined below), Convertible Securities (as defined below) or rights to purchase shares, warrants, securities or other property, in each case pro rata to the record holders of Ordinary Shares (the “</w:t>
      </w:r>
      <w:r>
        <w:rPr>
          <w:rFonts w:ascii="Times New Roman;serif" w:hAnsi="Times New Roman;serif"/>
          <w:b/>
          <w:i/>
          <w:color w:val="000000"/>
          <w:sz w:val="20"/>
        </w:rPr>
        <w:t>Purchase Rights</w:t>
      </w:r>
      <w:r>
        <w:rPr>
          <w:color w:val="000000"/>
        </w:rPr>
        <w:t>”</w:t>
      </w:r>
      <w:r>
        <w:rPr>
          <w:rFonts w:ascii="Times New Roman;serif" w:hAnsi="Times New Roman;serif"/>
          <w:b w:val="false"/>
          <w:color w:val="000000"/>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Ordinary Shares are to be determined for the grant, issuance or sale of such Purchase Rights (</w:t>
      </w:r>
      <w:r>
        <w:rPr>
          <w:rFonts w:ascii="Times New Roman;serif" w:hAnsi="Times New Roman;serif"/>
          <w:b w:val="false"/>
          <w:i/>
          <w:color w:val="000000"/>
          <w:sz w:val="20"/>
        </w:rPr>
        <w:t>provided</w:t>
      </w:r>
      <w:r>
        <w:rPr>
          <w:rFonts w:ascii="Times New Roman;serif" w:hAnsi="Times New Roman;serif"/>
          <w:b w:val="false"/>
          <w:color w:val="000000"/>
          <w:sz w:val="20"/>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Ordinary Shares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Section 9(c), (i) “Options” means any rights, warrants or options to subscribe for or purchase Ordinary Shares or Convertible Securities and (ii) “Convertible Securities” mean any shares or securities (other than Options) directly or indirectly convertible into or exercisable or exchangeable for Ordinary Shares.</w:t>
      </w:r>
    </w:p>
    <w:p>
      <w:pPr>
        <w:pStyle w:val="TextBody"/>
        <w:bidi w:val="0"/>
        <w:spacing w:lineRule="auto" w:line="288" w:before="0" w:after="12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Fundamental Transactions</w:t>
      </w:r>
      <w:r>
        <w:rPr>
          <w:rFonts w:ascii="Times New Roman;serif" w:hAnsi="Times New Roman;serif"/>
          <w:b w:val="false"/>
          <w:color w:val="000000"/>
          <w:sz w:val="20"/>
        </w:rPr>
        <w:t xml:space="preserve">. If, at any time while this Warrant is outstanding (i) the Company effects any merger or consolidation of the Company with or into another Person, in which the Company is not the surviving entity or in which the shareholders of the Company immediately prior to such merger or consolidation do not own, directly or indirectly, more than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share capital tender shares representing more than 50% of the voting power of the share capital of the Company and the Company or such other Person, as applicable, accepts such tender for payment, (iv) the Company consummates a share purchase agreement or other business combination (including, without limitation, a reorganization, recapitalization, spin-off or scheme of arrangement) with another Person whereby such other Person acquires more than 50% of the voting power of the share capital of the Company (except for any such transaction in which the shareholders of the Company immediately prior to such transaction maintain, in substantially the same proportions, the voting power of such Person immediately after the transaction) or (v) the Company effects any reclassification of the Ordinary Shares or any compulsory share exchange pursuant to which all of the Ordinary Shares are effectively converted into or exchanged for other securities, cash or property (other than as a result of a subdivision or combination of Ordinary Shares covered by </w:t>
      </w:r>
      <w:r>
        <w:rPr>
          <w:rFonts w:ascii="Times New Roman;serif" w:hAnsi="Times New Roman;serif"/>
          <w:b w:val="false"/>
          <w:color w:val="000000"/>
          <w:sz w:val="20"/>
          <w:u w:val="single"/>
        </w:rPr>
        <w:t>Section 9(a)</w:t>
      </w:r>
      <w:r>
        <w:rPr>
          <w:color w:val="000000"/>
        </w:rPr>
        <w:t xml:space="preserve"> </w:t>
      </w:r>
      <w:r>
        <w:rPr>
          <w:rFonts w:ascii="Times New Roman;serif" w:hAnsi="Times New Roman;serif"/>
          <w:b w:val="false"/>
          <w:color w:val="000000"/>
          <w:sz w:val="20"/>
        </w:rPr>
        <w:t>above) (in any such case, a “</w:t>
      </w:r>
      <w:r>
        <w:rPr>
          <w:rFonts w:ascii="Times New Roman;serif" w:hAnsi="Times New Roman;serif"/>
          <w:b/>
          <w:i/>
          <w:color w:val="000000"/>
          <w:sz w:val="20"/>
        </w:rPr>
        <w:t>Fundamental Transaction</w:t>
      </w:r>
      <w:r>
        <w:rPr>
          <w:color w:val="000000"/>
        </w:rPr>
        <w:t>”</w:t>
      </w:r>
      <w:r>
        <w:rPr>
          <w:rFonts w:ascii="Times New Roman;serif" w:hAnsi="Times New Roman;serif"/>
          <w:b w:val="false"/>
          <w:color w:val="000000"/>
          <w:sz w:val="20"/>
        </w:rPr>
        <w:t xml:space="preserve">), then following such Fundamental Transaction the Holder shall have the right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26415"/>
                <wp:effectExtent l="0" t="0" r="0" b="0"/>
                <wp:wrapNone/>
                <wp:docPr id="61" name="Frame6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Sections 9(b) or 9(c) above) without regard to any limitations on exercise contained herein (the “</w:t>
      </w:r>
      <w:r>
        <w:rPr>
          <w:rFonts w:ascii="Times New Roman;serif" w:hAnsi="Times New Roman;serif"/>
          <w:b/>
          <w:i/>
          <w:color w:val="000000"/>
          <w:sz w:val="20"/>
        </w:rPr>
        <w:t>Alternate Consideration</w:t>
      </w:r>
      <w:r>
        <w:rPr>
          <w:color w:val="000000"/>
        </w:rPr>
        <w:t>”</w:t>
      </w:r>
      <w:r>
        <w:rPr>
          <w:rFonts w:ascii="Times New Roman;serif" w:hAnsi="Times New Roman;serif"/>
          <w:b w:val="false"/>
          <w:color w:val="000000"/>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serif" w:hAnsi="Times New Roman;serif"/>
          <w:b w:val="false"/>
          <w:color w:val="000000"/>
          <w:sz w:val="20"/>
          <w:u w:val="single"/>
        </w:rPr>
        <w:t>Section 10</w:t>
      </w:r>
      <w:r>
        <w:rPr>
          <w:color w:val="000000"/>
        </w:rPr>
        <w:t xml:space="preserve"> </w:t>
      </w:r>
      <w:r>
        <w:rPr>
          <w:rFonts w:ascii="Times New Roman;serif" w:hAnsi="Times New Roman;serif"/>
          <w:b w:val="false"/>
          <w:color w:val="000000"/>
          <w:sz w:val="20"/>
        </w:rPr>
        <w:t xml:space="preserve">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w:t>
      </w:r>
    </w:p>
    <w:p>
      <w:pPr>
        <w:pStyle w:val="TextBody"/>
        <w:bidi w:val="0"/>
        <w:spacing w:lineRule="auto" w:line="288" w:before="0" w:after="120"/>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Number of Warrant Shares</w:t>
      </w:r>
      <w:r>
        <w:rPr>
          <w:rFonts w:ascii="Times New Roman;serif" w:hAnsi="Times New Roman;serif"/>
          <w:b w:val="false"/>
          <w:color w:val="000000"/>
          <w:sz w:val="20"/>
        </w:rPr>
        <w:t xml:space="preserve">. Simultaneously with any adjustment to the Exercise Price pursuant to </w:t>
      </w:r>
      <w:r>
        <w:rPr>
          <w:rFonts w:ascii="Times New Roman;serif" w:hAnsi="Times New Roman;serif"/>
          <w:b w:val="false"/>
          <w:color w:val="000000"/>
          <w:sz w:val="20"/>
          <w:u w:val="single"/>
        </w:rPr>
        <w:t>Section 9</w:t>
      </w:r>
      <w:r>
        <w:rPr>
          <w:rFonts w:ascii="Times New Roman;serif" w:hAnsi="Times New Roman;serif"/>
          <w:b w:val="false"/>
          <w:color w:val="000000"/>
          <w:sz w:val="20"/>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Ordinary Shares then in effect.</w:t>
      </w:r>
    </w:p>
    <w:p>
      <w:pPr>
        <w:pStyle w:val="TextBody"/>
        <w:bidi w:val="0"/>
        <w:spacing w:lineRule="auto" w:line="288" w:before="0" w:after="120"/>
        <w:jc w:val="left"/>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Calculations</w:t>
      </w:r>
      <w:r>
        <w:rPr>
          <w:rFonts w:ascii="Times New Roman;serif" w:hAnsi="Times New Roman;serif"/>
          <w:b w:val="false"/>
          <w:color w:val="000000"/>
          <w:sz w:val="20"/>
        </w:rPr>
        <w:t xml:space="preserve">. All calculations under this </w:t>
      </w:r>
      <w:r>
        <w:rPr>
          <w:rFonts w:ascii="Times New Roman;serif" w:hAnsi="Times New Roman;serif"/>
          <w:b w:val="false"/>
          <w:color w:val="000000"/>
          <w:sz w:val="20"/>
          <w:u w:val="single"/>
        </w:rPr>
        <w:t>Section 9</w:t>
      </w:r>
      <w:r>
        <w:rPr>
          <w:color w:val="000000"/>
        </w:rPr>
        <w:t xml:space="preserve"> </w:t>
      </w:r>
      <w:r>
        <w:rPr>
          <w:rFonts w:ascii="Times New Roman;serif" w:hAnsi="Times New Roman;serif"/>
          <w:b w:val="false"/>
          <w:color w:val="000000"/>
          <w:sz w:val="20"/>
        </w:rPr>
        <w:t xml:space="preserve">shall be made to the nearest one-tenth of one cent or the nearest share, as applicable. </w:t>
      </w:r>
    </w:p>
    <w:p>
      <w:pPr>
        <w:pStyle w:val="TextBody"/>
        <w:bidi w:val="0"/>
        <w:spacing w:lineRule="auto" w:line="288" w:before="0" w:after="120"/>
        <w:jc w:val="left"/>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Notice of Adjustments</w:t>
      </w:r>
      <w:r>
        <w:rPr>
          <w:rFonts w:ascii="Times New Roman;serif" w:hAnsi="Times New Roman;serif"/>
          <w:b w:val="false"/>
          <w:color w:val="000000"/>
          <w:sz w:val="20"/>
        </w:rPr>
        <w:t xml:space="preserve">. Upon the occurrence of each adjustment pursuant to this </w:t>
      </w:r>
      <w:r>
        <w:rPr>
          <w:rFonts w:ascii="Times New Roman;serif" w:hAnsi="Times New Roman;serif"/>
          <w:b w:val="false"/>
          <w:color w:val="000000"/>
          <w:sz w:val="20"/>
          <w:u w:val="single"/>
        </w:rPr>
        <w:t>Section 9</w:t>
      </w:r>
      <w:r>
        <w:rPr>
          <w:rFonts w:ascii="Times New Roman;serif" w:hAnsi="Times New Roman;serif"/>
          <w:b w:val="false"/>
          <w:color w:val="000000"/>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lineRule="auto" w:line="288" w:before="0" w:after="120"/>
        <w:jc w:val="left"/>
        <w:rPr/>
      </w:pPr>
      <w:r>
        <w:rPr>
          <w:rFonts w:ascii="Times New Roman;serif" w:hAnsi="Times New Roman;serif"/>
          <w:b w:val="false"/>
          <w:color w:val="000000"/>
          <w:sz w:val="20"/>
        </w:rPr>
        <w:t xml:space="preserve">(h) </w:t>
      </w:r>
      <w:r>
        <w:rPr>
          <w:rFonts w:ascii="Times New Roman;serif" w:hAnsi="Times New Roman;serif"/>
          <w:b w:val="false"/>
          <w:color w:val="000000"/>
          <w:sz w:val="20"/>
          <w:u w:val="single"/>
        </w:rPr>
        <w:t>Notice of Corporate Events</w:t>
      </w:r>
      <w:r>
        <w:rPr>
          <w:rFonts w:ascii="Times New Roman;serif" w:hAnsi="Times New Roman;serif"/>
          <w:b w:val="false"/>
          <w:color w:val="000000"/>
          <w:sz w:val="20"/>
        </w:rPr>
        <w:t xml:space="preserve">. If, while this Warrant is outstanding, the Company (i) declares a dividend or any other distribution of cash, securities or other property in respect of its Ordinary Shares, including, without limitation, any granting of rights or warrants to subscribe for or purchase any share capital of the Company or any subsidiary, (ii) authorizes or approves, enters into any agreement contemplating or solicits shareholder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Ordinary Shares in order to participate in or vote with respect to such transaction;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shareholder approval for any Fundamental Transaction contemplated by </w:t>
      </w:r>
      <w:r>
        <w:rPr>
          <w:rFonts w:ascii="Times New Roman;serif" w:hAnsi="Times New Roman;serif"/>
          <w:b w:val="false"/>
          <w:color w:val="000000"/>
          <w:sz w:val="20"/>
          <w:u w:val="single"/>
        </w:rPr>
        <w:t>Section 9(d)</w:t>
      </w:r>
      <w:r>
        <w:rPr>
          <w:rFonts w:ascii="Times New Roman;serif" w:hAnsi="Times New Roman;serif"/>
          <w:b w:val="false"/>
          <w:color w:val="000000"/>
          <w:sz w:val="20"/>
        </w:rPr>
        <w:t xml:space="preserve">, other than a Fundamental Transaction under clause (iii) of </w:t>
      </w:r>
      <w:r>
        <w:rPr>
          <w:rFonts w:ascii="Times New Roman;serif" w:hAnsi="Times New Roman;serif"/>
          <w:b w:val="false"/>
          <w:color w:val="000000"/>
          <w:sz w:val="20"/>
          <w:u w:val="single"/>
        </w:rPr>
        <w:t>Section 9(d),</w:t>
      </w:r>
      <w:r>
        <w:rPr>
          <w:color w:val="000000"/>
        </w:rPr>
        <w:t xml:space="preserve"> </w:t>
      </w:r>
      <w:r>
        <w:rPr>
          <w:rFonts w:ascii="Times New Roman;serif" w:hAnsi="Times New Roman;serif"/>
          <w:b w:val="false"/>
          <w:color w:val="000000"/>
          <w:sz w:val="20"/>
        </w:rPr>
        <w:t xml:space="preserve">the Company shall deliver to the Holder a notice of such Fundamental Transaction at least fifteen (15) days prior to the date such Fundamental Transaction is consummated. Holder agrees to maintain any information disclosed pursuant to this </w:t>
      </w:r>
      <w:r>
        <w:rPr>
          <w:rFonts w:ascii="Times New Roman;serif" w:hAnsi="Times New Roman;serif"/>
          <w:b w:val="false"/>
          <w:color w:val="000000"/>
          <w:sz w:val="20"/>
          <w:u w:val="single"/>
        </w:rPr>
        <w:t>Section 9(h)</w:t>
      </w:r>
      <w:r>
        <w:rPr>
          <w:color w:val="000000"/>
        </w:rPr>
        <w:t xml:space="preserve"> </w:t>
      </w:r>
      <w:r>
        <w:rPr>
          <w:rFonts w:ascii="Times New Roman;serif" w:hAnsi="Times New Roman;serif"/>
          <w:b w:val="false"/>
          <w:color w:val="000000"/>
          <w:sz w:val="20"/>
        </w:rPr>
        <w:t xml:space="preserve">in confidence until such information is publicly available, and shall comply with applicable law with respect to trading in the Company’s securities following receipt of any such information. </w:t>
      </w:r>
    </w:p>
    <w:p>
      <w:pPr>
        <w:pStyle w:val="TextBody"/>
        <w:bidi w:val="0"/>
        <w:spacing w:lineRule="auto" w:line="288" w:before="0" w:after="120"/>
        <w:jc w:val="left"/>
        <w:rPr/>
      </w:pPr>
      <w:r>
        <w:rPr>
          <w:rFonts w:ascii="Times New Roman;serif" w:hAnsi="Times New Roman;serif"/>
          <w:b w:val="false"/>
          <w:color w:val="000000"/>
          <w:sz w:val="20"/>
        </w:rPr>
        <w:t xml:space="preserve">10. </w:t>
      </w:r>
      <w:r>
        <w:rPr>
          <w:rFonts w:ascii="Times New Roman;serif" w:hAnsi="Times New Roman;serif"/>
          <w:b w:val="false"/>
          <w:i/>
          <w:color w:val="000000"/>
          <w:sz w:val="20"/>
        </w:rPr>
        <w:t>Payment of Exercise Price</w:t>
      </w:r>
      <w:r>
        <w:rPr>
          <w:rFonts w:ascii="Times New Roman;serif" w:hAnsi="Times New Roman;serif"/>
          <w:b w:val="false"/>
          <w:color w:val="000000"/>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X = Y [(A-B)/A]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where: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26415"/>
                <wp:effectExtent l="0" t="0" r="0" b="0"/>
                <wp:wrapNone/>
                <wp:docPr id="62" name="Frame6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 xml:space="preserve">X” equals the number of Warrant Shares to be issued to the Holder; </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 xml:space="preserve">Y” equals the total number of Warrant Shares with respect to which this Warrant is then being exercised; </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 xml:space="preserve">A” equals the Closing Sale Price of the Ordinary Shares (as reported by Bloomberg Financial Markets) as of the Trading Day on the date immediately preceding the Exercise Date; and </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 xml:space="preserve">B” equals the Exercise Price then in effect for the applicable Warrant Shares at the time of such exercise. </w:t>
      </w:r>
    </w:p>
    <w:p>
      <w:pPr>
        <w:pStyle w:val="TextBody"/>
        <w:bidi w:val="0"/>
        <w:spacing w:lineRule="auto" w:line="288" w:before="0" w:after="120"/>
        <w:jc w:val="left"/>
        <w:rPr/>
      </w:pPr>
      <w:r>
        <w:rPr>
          <w:rFonts w:ascii="Times New Roman;serif" w:hAnsi="Times New Roman;serif"/>
          <w:b w:val="false"/>
          <w:color w:val="000000"/>
          <w:sz w:val="20"/>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the Warrant may only be exercised through a cashless exercise, as set forth in this </w:t>
      </w:r>
      <w:r>
        <w:rPr>
          <w:rFonts w:ascii="Times New Roman;serif" w:hAnsi="Times New Roman;serif"/>
          <w:b w:val="false"/>
          <w:color w:val="000000"/>
          <w:sz w:val="20"/>
          <w:u w:val="single"/>
        </w:rPr>
        <w:t>Section</w:t>
      </w:r>
      <w:r>
        <w:rPr>
          <w:color w:val="000000"/>
        </w:rPr>
        <w:t> </w:t>
      </w:r>
      <w:r>
        <w:rPr>
          <w:rFonts w:ascii="Times New Roman;serif" w:hAnsi="Times New Roman;serif"/>
          <w:b w:val="false"/>
          <w:color w:val="000000"/>
          <w:sz w:val="20"/>
          <w:u w:val="single"/>
        </w:rPr>
        <w:t>10</w:t>
      </w:r>
      <w:r>
        <w:rPr>
          <w:rFonts w:ascii="Times New Roman;serif" w:hAnsi="Times New Roman;serif"/>
          <w:b w:val="false"/>
          <w:color w:val="000000"/>
          <w:sz w:val="20"/>
        </w:rPr>
        <w:t xml:space="preserve">. Except as set forth in Section 5(b) (Buy-In remedy) and Section 12 (No Fractional Shares), in no event will the exercise of this Warrant be settled in cash. </w:t>
      </w:r>
    </w:p>
    <w:p>
      <w:pPr>
        <w:pStyle w:val="TextBody"/>
        <w:bidi w:val="0"/>
        <w:spacing w:lineRule="auto" w:line="288" w:before="0" w:after="120"/>
        <w:jc w:val="left"/>
        <w:rPr/>
      </w:pPr>
      <w:r>
        <w:rPr>
          <w:rFonts w:ascii="Times New Roman;serif" w:hAnsi="Times New Roman;serif"/>
          <w:b w:val="false"/>
          <w:color w:val="000000"/>
          <w:sz w:val="20"/>
        </w:rPr>
        <w:t xml:space="preserve">11. </w:t>
      </w:r>
      <w:r>
        <w:rPr>
          <w:rFonts w:ascii="Times New Roman;serif" w:hAnsi="Times New Roman;serif"/>
          <w:b w:val="false"/>
          <w:i/>
          <w:color w:val="000000"/>
          <w:sz w:val="20"/>
        </w:rPr>
        <w:t>Limitations on Exercise</w:t>
      </w:r>
      <w:r>
        <w:rPr>
          <w:rFonts w:ascii="Times New Roman;serif" w:hAnsi="Times New Roman;serif"/>
          <w:b w:val="false"/>
          <w:color w:val="000000"/>
          <w:sz w:val="20"/>
        </w:rPr>
        <w:t xml:space="preserve">. </w:t>
      </w:r>
    </w:p>
    <w:p>
      <w:pPr>
        <w:pStyle w:val="TextBody"/>
        <w:bidi w:val="0"/>
        <w:spacing w:lineRule="auto" w:line="288" w:before="0" w:after="120"/>
        <w:jc w:val="left"/>
        <w:rPr/>
      </w:pPr>
      <w:r>
        <w:rPr>
          <w:rFonts w:ascii="Times New Roman;serif" w:hAnsi="Times New Roman;serif"/>
          <w:b w:val="false"/>
          <w:color w:val="000000"/>
          <w:sz w:val="20"/>
        </w:rPr>
        <w:t>(a) 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[4.99%][9.99%][19.99%] (the “</w:t>
      </w:r>
      <w:r>
        <w:rPr>
          <w:rFonts w:ascii="Times New Roman;serif" w:hAnsi="Times New Roman;serif"/>
          <w:b/>
          <w:i/>
          <w:color w:val="000000"/>
          <w:sz w:val="20"/>
        </w:rPr>
        <w:t>Maximum Percentage</w:t>
      </w:r>
      <w:r>
        <w:rPr>
          <w:color w:val="000000"/>
        </w:rPr>
        <w:t>”</w:t>
      </w:r>
      <w:r>
        <w:rPr>
          <w:rFonts w:ascii="Times New Roman;serif" w:hAnsi="Times New Roman;serif"/>
          <w:b w:val="false"/>
          <w:color w:val="000000"/>
          <w:sz w:val="20"/>
        </w:rPr>
        <w:t xml:space="preserve">) of the Ordinary Shares that would be issued and outstanding following such exercise. For purposes of calculating beneficial ownership for determining whether the Maximum Percentage is or will be exceeded, the aggregate number of Ordinary Shares held and/or beneficially owned by the Holder together with the Attribution Parties, shall include the number of Ordinary Shares held and/or beneficially owned by the Holder together with the Attribution Parties plus the number of Ordinary Shares issuable upon exercise of the relevant Warrant with respect to which the determination is being made but shall exclude the number of Ordinary Shares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shares or warrants) that are subject to a limitation on conversion or exercise analogous to the limitation contained herein. For purposes of this </w:t>
      </w:r>
      <w:r>
        <w:rPr>
          <w:rFonts w:ascii="Times New Roman;serif" w:hAnsi="Times New Roman;serif"/>
          <w:b w:val="false"/>
          <w:color w:val="000000"/>
          <w:sz w:val="20"/>
          <w:u w:val="single"/>
        </w:rPr>
        <w:t>Section 11(a)</w:t>
      </w:r>
      <w:r>
        <w:rPr>
          <w:rFonts w:ascii="Times New Roman;serif" w:hAnsi="Times New Roman;serif"/>
          <w:b w:val="false"/>
          <w:color w:val="000000"/>
          <w:sz w:val="20"/>
        </w:rPr>
        <w:t>,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Ordinary Shares, a Holder of the Warrant may rely on the number of outstanding Ordinary Shares as reflected in (1) the Company’s most recent Form 10-K, Form 10-Q, Current Report on Form 8-K or other public filing with the Commission, as the case may be, (2) a more recent public announcement by the Company or (3) any other notice by the Company or the Transfer Agent setting forth the number of Ordinary Shares outstanding (such issued and outstanding shares, the “</w:t>
      </w:r>
      <w:r>
        <w:rPr>
          <w:rFonts w:ascii="Times New Roman;serif" w:hAnsi="Times New Roman;serif"/>
          <w:b/>
          <w:i/>
          <w:color w:val="000000"/>
          <w:sz w:val="20"/>
        </w:rPr>
        <w:t>Reported Outstanding Share Number</w:t>
      </w:r>
      <w:r>
        <w:rPr>
          <w:color w:val="000000"/>
        </w:rPr>
        <w:t>”</w:t>
      </w:r>
      <w:r>
        <w:rPr>
          <w:rFonts w:ascii="Times New Roman;serif" w:hAnsi="Times New Roman;serif"/>
          <w:b w:val="false"/>
          <w:color w:val="000000"/>
          <w:sz w:val="20"/>
        </w:rPr>
        <w:t xml:space="preserve">). For any reason at any time, upon the written or oral request of the Holder, the Company shall within one (1) business day confirm orally and in writing or by electronic mail to the Holder the number of Ordinary Shares then outstanding. The Holder shall disclose to the Company the number of Ordinary Shares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Ordinary Shares is less than the Reported Outstanding Share Number, the Company shall (i) notify the Holder in writing of the number of Ordinary Shares then outstanding and, to the extent that such Exercise Notice would otherwise cause the Holder’s, together with the Attribution Parties’,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26415"/>
                <wp:effectExtent l="0" t="0" r="0" b="0"/>
                <wp:wrapNone/>
                <wp:docPr id="63" name="Frame6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color w:val="000000"/>
        </w:rPr>
        <w:t>“</w:t>
      </w:r>
      <w:r>
        <w:rPr>
          <w:rFonts w:ascii="Times New Roman;serif" w:hAnsi="Times New Roman;serif"/>
          <w:b/>
          <w:i/>
          <w:color w:val="000000"/>
          <w:sz w:val="20"/>
        </w:rPr>
        <w:t>Reduction Shares</w:t>
      </w:r>
      <w:r>
        <w:rPr>
          <w:color w:val="000000"/>
        </w:rPr>
        <w:t>”</w:t>
      </w:r>
      <w:r>
        <w:rPr>
          <w:rFonts w:ascii="Times New Roman;serif" w:hAnsi="Times New Roman;serif"/>
          <w:b w:val="false"/>
          <w:color w:val="000000"/>
          <w:sz w:val="20"/>
        </w:rPr>
        <w:t>) and (ii) as soon as reasonably practicable, the Company shall return to the Holder any exercise price paid by the Holder for the Reduction Shares. In any case, the number of outstanding Ordinary Shares shall be determined after giving effect to the conversion or exercise of securities of the Company, including this Warrant, by the Holder and the Attribution Parties since the date as of which the Reported Outstanding Share Number was reported. In the event that the issuance of Ordinary Shares to the Holder upon exercise of this Warrant results in the Holder, together with the Attribution Parties, being deemed to beneficially own, in the aggregate, more than the Maximum Percentage of the number of outstanding Ordinary Shares (as determined under Section 13(d) of the Exchange Act), the number of shares so issued by which the Holder’s, together with the Attribution Parties’, aggregate beneficial ownership exceeds the Maximum Percentage (the “</w:t>
      </w:r>
      <w:r>
        <w:rPr>
          <w:rFonts w:ascii="Times New Roman;serif" w:hAnsi="Times New Roman;serif"/>
          <w:b/>
          <w:i/>
          <w:color w:val="000000"/>
          <w:sz w:val="20"/>
        </w:rPr>
        <w:t>Excess Shares</w:t>
      </w:r>
      <w:r>
        <w:rPr>
          <w:color w:val="000000"/>
        </w:rPr>
        <w:t>”</w:t>
      </w:r>
      <w:r>
        <w:rPr>
          <w:rFonts w:ascii="Times New Roman;serif" w:hAnsi="Times New Roman;serif"/>
          <w:b w:val="false"/>
          <w:color w:val="000000"/>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any increase in the Maximum Percentage will not be effective until the sixty-first (61st) day after such notice is delivered to the Company and shall not negatively affect any partial exercise effected prior to such change. </w:t>
      </w:r>
    </w:p>
    <w:p>
      <w:pPr>
        <w:pStyle w:val="TextBody"/>
        <w:bidi w:val="0"/>
        <w:spacing w:lineRule="auto" w:line="288" w:before="0" w:after="120"/>
        <w:jc w:val="left"/>
        <w:rPr/>
      </w:pPr>
      <w:r>
        <w:rPr>
          <w:rFonts w:ascii="Times New Roman;serif" w:hAnsi="Times New Roman;serif"/>
          <w:b w:val="false"/>
          <w:color w:val="000000"/>
          <w:sz w:val="20"/>
        </w:rPr>
        <w:t xml:space="preserve">(b) This </w:t>
      </w:r>
      <w:r>
        <w:rPr>
          <w:rFonts w:ascii="Times New Roman;serif" w:hAnsi="Times New Roman;serif"/>
          <w:b w:val="false"/>
          <w:color w:val="000000"/>
          <w:sz w:val="20"/>
          <w:u w:val="single"/>
        </w:rPr>
        <w:t>Section 11</w:t>
      </w:r>
      <w:r>
        <w:rPr>
          <w:color w:val="000000"/>
        </w:rPr>
        <w:t xml:space="preserve"> </w:t>
      </w:r>
      <w:r>
        <w:rPr>
          <w:rFonts w:ascii="Times New Roman;serif" w:hAnsi="Times New Roman;serif"/>
          <w:b w:val="false"/>
          <w:color w:val="000000"/>
          <w:sz w:val="20"/>
        </w:rPr>
        <w:t xml:space="preserve">shall not restrict the number of Ordinary Shares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serif" w:hAnsi="Times New Roman;serif"/>
          <w:b w:val="false"/>
          <w:color w:val="000000"/>
          <w:sz w:val="20"/>
          <w:u w:val="single"/>
        </w:rPr>
        <w:t>Section 9(d)</w:t>
      </w:r>
      <w:r>
        <w:rPr>
          <w:color w:val="000000"/>
        </w:rPr>
        <w:t xml:space="preserve"> </w:t>
      </w:r>
      <w:r>
        <w:rPr>
          <w:rFonts w:ascii="Times New Roman;serif" w:hAnsi="Times New Roman;serif"/>
          <w:b w:val="false"/>
          <w:color w:val="000000"/>
          <w:sz w:val="20"/>
        </w:rPr>
        <w:t xml:space="preserve">of this Warrant. For purposes of clarity, the Ordinary Shares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w:t>
      </w:r>
      <w:r>
        <w:rPr>
          <w:rFonts w:ascii="Times New Roman;serif" w:hAnsi="Times New Roman;serif"/>
          <w:b w:val="false"/>
          <w:color w:val="000000"/>
          <w:sz w:val="20"/>
          <w:u w:val="single"/>
        </w:rPr>
        <w:t>Section 11(a)</w:t>
      </w:r>
      <w:r>
        <w:rPr>
          <w:color w:val="000000"/>
        </w:rPr>
        <w:t xml:space="preserve"> </w:t>
      </w:r>
      <w:r>
        <w:rPr>
          <w:rFonts w:ascii="Times New Roman;serif" w:hAnsi="Times New Roman;serif"/>
          <w:b w:val="false"/>
          <w:color w:val="000000"/>
          <w:sz w:val="20"/>
        </w:rPr>
        <w:t xml:space="preserve">to the extent necessary to correct this paragraph or any portion of this paragraph which may be defective or inconsistent with the intended beneficial ownership limitation contained in </w:t>
      </w:r>
      <w:r>
        <w:rPr>
          <w:rFonts w:ascii="Times New Roman;serif" w:hAnsi="Times New Roman;serif"/>
          <w:b w:val="false"/>
          <w:color w:val="000000"/>
          <w:sz w:val="20"/>
          <w:u w:val="single"/>
        </w:rPr>
        <w:t>Section 11(a)</w:t>
      </w:r>
      <w:r>
        <w:rPr>
          <w:color w:val="000000"/>
        </w:rPr>
        <w:t xml:space="preserve"> </w:t>
      </w:r>
      <w:r>
        <w:rPr>
          <w:rFonts w:ascii="Times New Roman;serif" w:hAnsi="Times New Roman;serif"/>
          <w:b w:val="false"/>
          <w:color w:val="000000"/>
          <w:sz w:val="20"/>
        </w:rPr>
        <w:t>or to make changes or supplements necessary or desirable to properly give effect to such limitation. The limitation contained in this paragraph may not be waived and shall apply to a successor holder of this Warrant.</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12. </w:t>
      </w:r>
      <w:r>
        <w:rPr>
          <w:rFonts w:ascii="Times New Roman;serif" w:hAnsi="Times New Roman;serif"/>
          <w:b w:val="false"/>
          <w:i/>
          <w:color w:val="000000"/>
          <w:sz w:val="20"/>
        </w:rPr>
        <w:t>No Fractional Shares</w:t>
      </w:r>
      <w:r>
        <w:rPr>
          <w:rFonts w:ascii="Times New Roman;serif" w:hAnsi="Times New Roman;serif"/>
          <w:b w:val="false"/>
          <w:color w:val="000000"/>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lineRule="auto" w:line="288" w:before="0" w:after="120"/>
        <w:jc w:val="left"/>
        <w:rPr/>
      </w:pPr>
      <w:r>
        <w:rPr>
          <w:rFonts w:ascii="Times New Roman;serif" w:hAnsi="Times New Roman;serif"/>
          <w:b w:val="false"/>
          <w:color w:val="000000"/>
          <w:sz w:val="20"/>
        </w:rPr>
        <w:t xml:space="preserve">13. </w:t>
      </w:r>
      <w:r>
        <w:rPr>
          <w:rFonts w:ascii="Times New Roman;serif" w:hAnsi="Times New Roman;serif"/>
          <w:b w:val="false"/>
          <w:i/>
          <w:color w:val="000000"/>
          <w:sz w:val="20"/>
        </w:rPr>
        <w:t>Notices</w:t>
      </w:r>
      <w:r>
        <w:rPr>
          <w:rFonts w:ascii="Times New Roman;serif" w:hAnsi="Times New Roman;serif"/>
          <w:b w:val="false"/>
          <w:color w:val="000000"/>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lineRule="auto" w:line="288" w:before="0" w:after="120"/>
        <w:jc w:val="left"/>
        <w:rPr/>
      </w:pPr>
      <w:r>
        <w:rPr>
          <w:rFonts w:ascii="Times New Roman;serif" w:hAnsi="Times New Roman;serif"/>
          <w:b w:val="false"/>
          <w:color w:val="000000"/>
          <w:sz w:val="20"/>
        </w:rPr>
        <w:t xml:space="preserve">14. </w:t>
      </w:r>
      <w:r>
        <w:rPr>
          <w:rFonts w:ascii="Times New Roman;serif" w:hAnsi="Times New Roman;serif"/>
          <w:b w:val="false"/>
          <w:i/>
          <w:color w:val="000000"/>
          <w:sz w:val="20"/>
        </w:rPr>
        <w:t>Warrant Agent</w:t>
      </w:r>
      <w:r>
        <w:rPr>
          <w:rFonts w:ascii="Times New Roman;serif" w:hAnsi="Times New Roman;serif"/>
          <w:b w:val="false"/>
          <w:color w:val="000000"/>
          <w:sz w:val="20"/>
        </w:rPr>
        <w:t xml:space="preserve">.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26415"/>
                <wp:effectExtent l="0" t="0" r="0" b="0"/>
                <wp:wrapNone/>
                <wp:docPr id="64" name="Frame6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 xml:space="preserve">15. </w:t>
      </w:r>
      <w:r>
        <w:rPr>
          <w:rFonts w:ascii="Times New Roman;serif" w:hAnsi="Times New Roman;serif"/>
          <w:b w:val="false"/>
          <w:i/>
          <w:color w:val="000000"/>
          <w:sz w:val="20"/>
        </w:rPr>
        <w:t>Miscellaneous</w:t>
      </w:r>
      <w:r>
        <w:rPr>
          <w:rFonts w:ascii="Times New Roman;serif" w:hAnsi="Times New Roman;serif"/>
          <w:b w:val="false"/>
          <w:color w:val="000000"/>
          <w:sz w:val="2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No Rights as a Shareholder</w:t>
      </w:r>
      <w:r>
        <w:rPr>
          <w:rFonts w:ascii="Times New Roman;serif" w:hAnsi="Times New Roman;serif"/>
          <w:b w:val="false"/>
          <w:color w:val="000000"/>
          <w:sz w:val="20"/>
        </w:rPr>
        <w:t xml:space="preserve">. Except as otherwise set forth in this Warrant, the Holder, solely in such Person’s capacity as a holder of this Warrant, shall not be entitled to vote or receive dividends or be deemed the holder of share capital of the Company for any purpose (except to the extent the Holder is required to be deemed a holder of the Warrant Shares for tax purposes under applicable tax law), nor shall anything contained in this Warrant be construed to confer upon the Holder, solely in such Person’s capacity as the Holder of this Warrant, any of the rights of a shareholder of the Company or any right to vote, give or withhold consent to any corporate action (whether any reorganization, issue of shares, reclassification of shares,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w:t>
      </w:r>
    </w:p>
    <w:p>
      <w:pPr>
        <w:pStyle w:val="TextBody"/>
        <w:bidi w:val="0"/>
        <w:spacing w:lineRule="auto" w:line="288" w:before="0" w:after="12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Authorized Shares</w:t>
      </w:r>
      <w:r>
        <w:rPr>
          <w:rFonts w:ascii="Times New Roman;serif" w:hAnsi="Times New Roman;serif"/>
          <w:b w:val="false"/>
          <w:color w:val="000000"/>
          <w:sz w:val="20"/>
        </w:rPr>
        <w:t xml:space="preserve">. (i) Except and to the extent as waived or consented to by the Holder, the Company shall not by any action, including, without limitation, amending its memorandum of association or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lineRule="auto" w:line="288" w:before="0" w:after="12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lineRule="auto" w:line="288" w:before="0" w:after="12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Amendment and Waiver</w:t>
      </w:r>
      <w:r>
        <w:rPr>
          <w:rFonts w:ascii="Times New Roman;serif" w:hAnsi="Times New Roman;serif"/>
          <w:b w:val="false"/>
          <w:color w:val="000000"/>
          <w:sz w:val="20"/>
        </w:rPr>
        <w:t xml:space="preserve">. Except as otherwise provided herein, the provisions of the Warrants may be amended and the Company may take any action herein prohibited, or omit to perform any act herein required to be performed by it, only if the Company has obtained the written consent of the Holder. </w:t>
      </w:r>
    </w:p>
    <w:p>
      <w:pPr>
        <w:pStyle w:val="TextBody"/>
        <w:bidi w:val="0"/>
        <w:spacing w:lineRule="auto" w:line="288" w:before="0" w:after="120"/>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Acceptance</w:t>
      </w:r>
      <w:r>
        <w:rPr>
          <w:rFonts w:ascii="Times New Roman;serif" w:hAnsi="Times New Roman;serif"/>
          <w:b w:val="false"/>
          <w:color w:val="000000"/>
          <w:sz w:val="20"/>
        </w:rPr>
        <w:t xml:space="preserve">. Receipt of this Warrant by the Holder shall constitute acceptance of and agreement to all of the terms and conditions contained herein. </w:t>
      </w:r>
    </w:p>
    <w:p>
      <w:pPr>
        <w:pStyle w:val="TextBody"/>
        <w:bidi w:val="0"/>
        <w:spacing w:lineRule="auto" w:line="288" w:before="0" w:after="120"/>
        <w:jc w:val="left"/>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Governing Law; Jurisdiction</w:t>
      </w:r>
      <w:r>
        <w:rPr>
          <w:rFonts w:ascii="Times New Roman;serif" w:hAnsi="Times New Roman;serif"/>
          <w:b w:val="false"/>
          <w:color w:val="000000"/>
          <w:sz w:val="20"/>
        </w:rPr>
        <w:t>. This Warrant shall be governed by and interpreted in accordance with the substantive laws of the State of New York, without regard to its or any other jurisdiction’s choice of law rules. Any and all disputes arising out of, concerning, or related to this Warrant, or to the construction, validity, enforcement and interpretation thereof, shall be referred to and resolved by the federal courts located in New York, New York or, to the extent no such court has subject matter jurisdiction, the state courts of the State of New York located in New York, New York (the “</w:t>
      </w:r>
      <w:r>
        <w:rPr>
          <w:rFonts w:ascii="Times New Roman;serif" w:hAnsi="Times New Roman;serif"/>
          <w:b/>
          <w:i/>
          <w:color w:val="000000"/>
          <w:sz w:val="20"/>
        </w:rPr>
        <w:t>Specified Courts</w:t>
      </w:r>
      <w:r>
        <w:rPr>
          <w:color w:val="000000"/>
        </w:rPr>
        <w:t>”</w:t>
      </w:r>
      <w:r>
        <w:rPr>
          <w:rFonts w:ascii="Times New Roman;serif" w:hAnsi="Times New Roman;serif"/>
          <w:b w:val="false"/>
          <w:color w:val="000000"/>
          <w:sz w:val="20"/>
        </w:rPr>
        <w:t xml:space="preserve">). Each of the Company and the Holder irrevocably and unconditionally submits to the exclusive jurisdiction of the Specified Courts, waives any objection to the laying of venue of any suit, action or proceeding brought in such courts and waives any claim that any such suit, action or proceeding brought in any such court has been brought in an inconvenient forum. EACH OF THE COMPANY AND THE HOLDER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26415"/>
                <wp:effectExtent l="0" t="0" r="0" b="0"/>
                <wp:wrapNone/>
                <wp:docPr id="65" name="Frame6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HEREBY WAIVES ITS RIGHTS TO A JURY TRIAL OF ANY CLAIM OR CAUSE OF ACTION BASED UPON OR ARISING OUT OF THIS WARRANT. THE SCOPE OF THIS WAIVER IS INTENDED TO BE ALL-ENCOMPASSING OF ANY AND ALL DISPUTES THAT MAY BE FILED IN ANY COURT AND THAT RELATE TO THIS WARRANT. THIS SECTION HAS BEEN FULLY DISCUSSED BY EACH OF THE COMPANY AND THE HOLDER AND THESE PROVISIONS WILL NOT BE SUBJECT TO ANY EXCEPTIONS. EACH OF THE COMPANY AND THE HOLDER HEREBY FURTHER WARRANTS AND REPRESENTS THAT SUCH PARTY HAS REVIEWED THIS WAIVER WITH ITS LEGAL COUNSEL, AND THAT SUCH PARTY KNOWINGLY AND VOLUNTARILY WAIVES ITS JURY TRIAL RIGHTS FOLLOWING CONSULTATION WITH LEGAL COUNSEL. </w:t>
      </w:r>
    </w:p>
    <w:p>
      <w:pPr>
        <w:pStyle w:val="TextBody"/>
        <w:bidi w:val="0"/>
        <w:spacing w:lineRule="auto" w:line="288" w:before="0" w:after="120"/>
        <w:jc w:val="left"/>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Headings</w:t>
      </w:r>
      <w:r>
        <w:rPr>
          <w:rFonts w:ascii="Times New Roman;serif" w:hAnsi="Times New Roman;serif"/>
          <w:b w:val="false"/>
          <w:color w:val="000000"/>
          <w:sz w:val="20"/>
        </w:rPr>
        <w:t xml:space="preserve">. The headings herein are for convenience only, do not constitute a part of this Warrant and shall not be deemed to limit or affect any of the provisions hereof. </w:t>
      </w:r>
    </w:p>
    <w:p>
      <w:pPr>
        <w:pStyle w:val="TextBody"/>
        <w:bidi w:val="0"/>
        <w:spacing w:lineRule="auto" w:line="288" w:before="0" w:after="240"/>
        <w:jc w:val="left"/>
        <w:rPr/>
      </w:pPr>
      <w:r>
        <w:rPr>
          <w:rFonts w:ascii="Times New Roman;serif" w:hAnsi="Times New Roman;serif"/>
          <w:b w:val="false"/>
          <w:color w:val="000000"/>
          <w:sz w:val="20"/>
        </w:rPr>
        <w:t xml:space="preserve">(h) </w:t>
      </w:r>
      <w:r>
        <w:rPr>
          <w:rFonts w:ascii="Times New Roman;serif" w:hAnsi="Times New Roman;serif"/>
          <w:b w:val="false"/>
          <w:color w:val="000000"/>
          <w:sz w:val="20"/>
          <w:u w:val="single"/>
        </w:rPr>
        <w:t>Severability</w:t>
      </w:r>
      <w:r>
        <w:rPr>
          <w:rFonts w:ascii="Times New Roman;serif" w:hAnsi="Times New Roman;serif"/>
          <w:b w:val="false"/>
          <w:color w:val="000000"/>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[REMAINDER OF PAGE INTENTIONALLY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26415"/>
                <wp:effectExtent l="0" t="0" r="0" b="0"/>
                <wp:wrapNone/>
                <wp:docPr id="66" name="Frame6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WITNESS WHEREOF, the Company has caused this Warrant to be duly executed by its authorized signatory as of the date first indicated above. </w:t>
      </w:r>
    </w:p>
    <w:p>
      <w:pPr>
        <w:pStyle w:val="TextBody"/>
        <w:bidi w:val="0"/>
        <w:spacing w:lineRule="auto" w:line="288" w:before="0" w:after="0"/>
        <w:jc w:val="left"/>
        <w:rPr>
          <w:color w:val="000000"/>
        </w:rPr>
      </w:pPr>
      <w:r>
        <w:rPr>
          <w:color w:val="000000"/>
        </w:rPr>
        <w:t> </w:t>
      </w:r>
    </w:p>
    <w:tbl>
      <w:tblPr>
        <w:tblW w:w="3011" w:type="dxa"/>
        <w:jc w:val="left"/>
        <w:tblInd w:w="0" w:type="dxa"/>
        <w:tblLayout w:type="fixed"/>
        <w:tblCellMar>
          <w:top w:w="28" w:type="dxa"/>
          <w:left w:w="28" w:type="dxa"/>
          <w:bottom w:w="28" w:type="dxa"/>
          <w:right w:w="28" w:type="dxa"/>
        </w:tblCellMar>
      </w:tblPr>
      <w:tblGrid>
        <w:gridCol w:w="522"/>
        <w:gridCol w:w="458"/>
        <w:gridCol w:w="458"/>
        <w:gridCol w:w="458"/>
        <w:gridCol w:w="458"/>
        <w:gridCol w:w="657"/>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CRESCENT BIOPHARMA, INC.</w:t>
            </w:r>
            <w:r>
              <w:rPr>
                <w:color w:val="000000"/>
              </w:rPr>
              <w:t xml:space="preserve"> </w:t>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57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26415"/>
                <wp:effectExtent l="0" t="0" r="0" b="0"/>
                <wp:wrapNone/>
                <wp:docPr id="67" name="Frame6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SCHEDULE 1</w:t>
      </w:r>
    </w:p>
    <w:p>
      <w:pPr>
        <w:pStyle w:val="TextBody"/>
        <w:bidi w:val="0"/>
        <w:spacing w:lineRule="auto" w:line="288" w:before="0" w:after="120"/>
        <w:jc w:val="center"/>
        <w:rPr/>
      </w:pPr>
      <w:r>
        <w:rPr>
          <w:rFonts w:ascii="Times New Roman;serif" w:hAnsi="Times New Roman;serif"/>
          <w:b/>
          <w:color w:val="000000"/>
          <w:sz w:val="20"/>
        </w:rPr>
        <w:t>FORM OF EXERCISE NOTICE</w:t>
      </w:r>
      <w:r>
        <w:rPr>
          <w:color w:val="000000"/>
        </w:rPr>
        <w:t xml:space="preserve">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[To be executed by the Holder to purchase Ordinary Shares under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lineRule="auto" w:line="288" w:before="0" w:after="120"/>
        <w:jc w:val="left"/>
        <w:rPr/>
      </w:pPr>
      <w:r>
        <w:rPr>
          <w:rFonts w:ascii="Times New Roman;serif" w:hAnsi="Times New Roman;serif"/>
          <w:b w:val="false"/>
          <w:color w:val="000000"/>
          <w:sz w:val="20"/>
        </w:rPr>
        <w:t xml:space="preserve">(1) The undersigned is the Holder of Warrant No. __ (the “Warrant”) issued by </w:t>
      </w:r>
      <w:r>
        <w:rPr>
          <w:rFonts w:ascii="Times New Roman;serif" w:hAnsi="Times New Roman;serif"/>
          <w:b/>
          <w:color w:val="000000"/>
          <w:sz w:val="20"/>
        </w:rPr>
        <w:t>CRESCENT BIOPHARMA, INC.</w:t>
      </w:r>
      <w:r>
        <w:rPr>
          <w:rFonts w:ascii="Times New Roman;serif" w:hAnsi="Times New Roman;serif"/>
          <w:b w:val="false"/>
          <w:color w:val="000000"/>
          <w:sz w:val="20"/>
        </w:rPr>
        <w:t>, a Cayman Islands exempted company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Capitalized terms used herein and not otherwise defined herein have the respective meanings set forth in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(2) The undersigned hereby exercises its right to purchase Warrant Shares pursuant to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(3) The Holder intends that payment of the Exercise Price shall be made as (check one): </w:t>
      </w:r>
    </w:p>
    <w:p>
      <w:pPr>
        <w:pStyle w:val="TextBody"/>
        <w:bidi w:val="0"/>
        <w:spacing w:lineRule="auto" w:line="288" w:before="0" w:after="0"/>
        <w:jc w:val="left"/>
        <w:rPr>
          <w:color w:val="000000"/>
        </w:rPr>
      </w:pPr>
      <w:r>
        <w:rPr>
          <w:color w:val="000000"/>
        </w:rPr>
        <w:t> </w:t>
      </w:r>
    </w:p>
    <w:tbl>
      <w:tblPr>
        <w:tblW w:w="2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90"/>
        <w:gridCol w:w="390"/>
        <w:gridCol w:w="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Exercise </w:t>
            </w:r>
          </w:p>
        </w:tc>
      </w:tr>
    </w:tbl>
    <w:p>
      <w:pPr>
        <w:pStyle w:val="TextBody"/>
        <w:bidi w:val="0"/>
        <w:spacing w:lineRule="auto" w:line="288" w:before="0" w:after="120"/>
        <w:jc w:val="left"/>
        <w:rPr>
          <w:color w:val="000000"/>
        </w:rPr>
      </w:pPr>
      <w:r>
        <w:rPr>
          <w:color w:val="000000"/>
        </w:rPr>
        <w:t> </w:t>
      </w:r>
    </w:p>
    <w:tbl>
      <w:tblPr>
        <w:tblW w:w="51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04"/>
        <w:gridCol w:w="1304"/>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54"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r>
              <w:rPr>
                <w:rFonts w:ascii="Times New Roman;serif" w:hAnsi="Times New Roman;serif"/>
                <w:b w:val="false"/>
                <w:color w:val="000000"/>
                <w:sz w:val="20"/>
              </w:rPr>
              <w:t xml:space="preserve">Cashless Exercise” under Section 10 of the Warrant </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(4) If the Holder has elected a Cash Exercise, the Holder shall pay the sum of $ in immediately available funds to the Company in accordance with the terms of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(5) Pursuant to this Exercise Notice, the Company shall deliver to the Holder Warrant Shares determined in accordance with the terms of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(6) By its delivery of this Exercise Notice, the undersigned represents and warrants to the Company that in giving effect to the exercise evidenced hereby the Holder will not beneficially own in excess of the number of Ordinary Shares (as determined in accordance with Section 13(d) of the Securities Exchange Act of 1934, as amended) permitted to be owned under Section 11(a) of the Warrant to which this notice relates. </w:t>
      </w:r>
    </w:p>
    <w:p>
      <w:pPr>
        <w:pStyle w:val="TextBody"/>
        <w:bidi w:val="0"/>
        <w:spacing w:lineRule="auto" w:line="288" w:before="0" w:after="0"/>
        <w:jc w:val="left"/>
        <w:rPr>
          <w:color w:val="000000"/>
        </w:rPr>
      </w:pPr>
      <w:r>
        <w:rPr>
          <w:color w:val="000000"/>
        </w:rPr>
        <w:t> </w:t>
      </w:r>
    </w:p>
    <w:tbl>
      <w:tblPr>
        <w:tblW w:w="2154" w:type="dxa"/>
        <w:jc w:val="left"/>
        <w:tblInd w:w="0" w:type="dxa"/>
        <w:tblLayout w:type="fixed"/>
        <w:tblCellMar>
          <w:top w:w="28" w:type="dxa"/>
          <w:left w:w="28" w:type="dxa"/>
          <w:bottom w:w="28" w:type="dxa"/>
          <w:right w:w="28" w:type="dxa"/>
        </w:tblCellMar>
      </w:tblPr>
      <w:tblGrid>
        <w:gridCol w:w="525"/>
        <w:gridCol w:w="462"/>
        <w:gridCol w:w="468"/>
        <w:gridCol w:w="109"/>
        <w:gridCol w:w="109"/>
        <w:gridCol w:w="109"/>
        <w:gridCol w:w="109"/>
        <w:gridCol w:w="109"/>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Name of Holder: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(Signature must conform in all respects to name of Holder as specified on the face of the Warrant)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5.1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0520"/>
                <wp:effectExtent l="0" t="0" r="0" b="0"/>
                <wp:wrapNone/>
                <wp:docPr id="68"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362075" cy="266700"/>
            <wp:effectExtent l="0" t="0" r="0" b="0"/>
            <wp:docPr id="6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 descr=""/>
                    <pic:cNvPicPr>
                      <a:picLocks noChangeAspect="1" noChangeArrowheads="1"/>
                    </pic:cNvPicPr>
                  </pic:nvPicPr>
                  <pic:blipFill>
                    <a:blip r:embed="rId2"/>
                    <a:stretch>
                      <a:fillRect/>
                    </a:stretch>
                  </pic:blipFill>
                  <pic:spPr bwMode="auto">
                    <a:xfrm>
                      <a:off x="0" y="0"/>
                      <a:ext cx="1362075" cy="266700"/>
                    </a:xfrm>
                    <a:prstGeom prst="rect">
                      <a:avLst/>
                    </a:prstGeom>
                  </pic:spPr>
                </pic:pic>
              </a:graphicData>
            </a:graphic>
          </wp:inline>
        </w:drawing>
      </w:r>
    </w:p>
    <w:p>
      <w:pPr>
        <w:pStyle w:val="TextBody"/>
        <w:bidi w:val="0"/>
        <w:spacing w:before="0" w:after="0"/>
        <w:jc w:val="both"/>
        <w:rPr/>
      </w:pPr>
      <w:r>
        <w:rPr/>
      </w:r>
    </w:p>
    <w:tbl>
      <w:tblPr>
        <w:tblW w:w="1601" w:type="dxa"/>
        <w:jc w:val="left"/>
        <w:tblInd w:w="0" w:type="dxa"/>
        <w:tblLayout w:type="fixed"/>
        <w:tblCellMar>
          <w:top w:w="28" w:type="dxa"/>
          <w:left w:w="28" w:type="dxa"/>
          <w:bottom w:w="28" w:type="dxa"/>
          <w:right w:w="28" w:type="dxa"/>
        </w:tblCellMar>
      </w:tblPr>
      <w:tblGrid>
        <w:gridCol w:w="445"/>
        <w:gridCol w:w="391"/>
        <w:gridCol w:w="393"/>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120" w:after="120"/>
              <w:jc w:val="left"/>
              <w:rPr/>
            </w:pPr>
            <w:r>
              <w:rPr/>
            </w:r>
          </w:p>
          <w:p>
            <w:pPr>
              <w:pStyle w:val="TableContents"/>
              <w:bidi w:val="0"/>
              <w:spacing w:lineRule="auto" w:line="276" w:before="120" w:after="120"/>
              <w:jc w:val="left"/>
              <w:rPr>
                <w:rFonts w:ascii="Arial;sans-serif" w:hAnsi="Arial;sans-serif"/>
                <w:b w:val="false"/>
                <w:color w:val="000000"/>
                <w:sz w:val="20"/>
              </w:rPr>
            </w:pPr>
            <w:r>
              <w:rPr>
                <w:rFonts w:ascii="Arial;sans-serif" w:hAnsi="Arial;sans-serif"/>
                <w:b w:val="false"/>
                <w:color w:val="000000"/>
                <w:sz w:val="20"/>
              </w:rPr>
              <w:t>15 July 2026</w:t>
            </w:r>
          </w:p>
        </w:tc>
        <w:tc>
          <w:tcPr>
            <w:tcW w:w="372" w:type="dxa"/>
            <w:gridSpan w:val="3"/>
            <w:tcBorders/>
            <w:tcMar>
              <w:top w:w="0" w:type="dxa"/>
              <w:left w:w="0" w:type="dxa"/>
              <w:bottom w:w="0" w:type="dxa"/>
              <w:right w:w="0" w:type="dxa"/>
            </w:tcMar>
            <w:vAlign w:val="center"/>
          </w:tcPr>
          <w:p>
            <w:pPr>
              <w:pStyle w:val="TableContents"/>
              <w:bidi w:val="0"/>
              <w:spacing w:before="120" w:after="120"/>
              <w:jc w:val="right"/>
              <w:rPr/>
            </w:pPr>
            <w:r>
              <w:rPr/>
            </w:r>
          </w:p>
          <w:p>
            <w:pPr>
              <w:pStyle w:val="TableContents"/>
              <w:bidi w:val="0"/>
              <w:spacing w:before="120" w:after="120"/>
              <w:jc w:val="right"/>
              <w:rPr/>
            </w:pPr>
            <w:r>
              <w:rPr/>
            </w:r>
          </w:p>
        </w:tc>
      </w:tr>
    </w:tbl>
    <w:p>
      <w:pPr>
        <w:pStyle w:val="TextBody"/>
        <w:bidi w:val="0"/>
        <w:spacing w:before="0" w:after="0"/>
        <w:jc w:val="both"/>
        <w:rPr/>
      </w:pPr>
      <w:r>
        <w:rPr/>
      </w:r>
    </w:p>
    <w:p>
      <w:pPr>
        <w:pStyle w:val="TextBody"/>
        <w:bidi w:val="0"/>
        <w:spacing w:before="0" w:after="0"/>
        <w:jc w:val="both"/>
        <w:rPr/>
      </w:pPr>
      <w:r>
        <w:rPr/>
      </w:r>
    </w:p>
    <w:tbl>
      <w:tblPr>
        <w:tblW w:w="3116" w:type="dxa"/>
        <w:jc w:val="left"/>
        <w:tblInd w:w="0" w:type="dxa"/>
        <w:tblLayout w:type="fixed"/>
        <w:tblCellMar>
          <w:top w:w="28" w:type="dxa"/>
          <w:left w:w="28" w:type="dxa"/>
          <w:bottom w:w="28" w:type="dxa"/>
          <w:right w:w="28" w:type="dxa"/>
        </w:tblCellMar>
      </w:tblPr>
      <w:tblGrid>
        <w:gridCol w:w="993"/>
        <w:gridCol w:w="874"/>
        <w:gridCol w:w="877"/>
        <w:gridCol w:w="109"/>
        <w:gridCol w:w="109"/>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Crescent Biopharma, Inc.</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 Walkers Corporate Limited</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190 Elgin Avenue</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George Town</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Grand Cayman KY1-9008</w:t>
            </w:r>
          </w:p>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Cayman Islands</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both"/>
              <w:rPr>
                <w:color w:val="000000"/>
              </w:rPr>
            </w:pPr>
            <w:r>
              <w:rPr>
                <w:color w:val="000000"/>
              </w:rPr>
              <w:t> </w:t>
            </w:r>
          </w:p>
        </w:tc>
      </w:tr>
    </w:tbl>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Dear Ladies and Gentlemen</w:t>
      </w:r>
    </w:p>
    <w:p>
      <w:pPr>
        <w:pStyle w:val="TextBody"/>
        <w:bidi w:val="0"/>
        <w:spacing w:before="0" w:after="0"/>
        <w:jc w:val="both"/>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 xml:space="preserve">CRESCENT BIOPHARMA, INC. </w:t>
      </w:r>
    </w:p>
    <w:p>
      <w:pPr>
        <w:pStyle w:val="TextBody"/>
        <w:bidi w:val="0"/>
        <w:spacing w:lineRule="auto" w:line="288" w:before="0" w:after="0"/>
        <w:jc w:val="both"/>
        <w:rPr/>
      </w:pPr>
      <w:r>
        <w:rPr>
          <w:rFonts w:ascii="Arial;sans-serif" w:hAnsi="Arial;sans-serif"/>
          <w:b w:val="false"/>
          <w:color w:val="000000"/>
          <w:sz w:val="20"/>
        </w:rPr>
        <w:t>We have been asked to provide this legal opinion to you with regards to the laws of the Cayman Islands in connection with the registration by Crescent Biopharma, Inc. (the "</w:t>
      </w:r>
      <w:r>
        <w:rPr>
          <w:rFonts w:ascii="Arial;sans-serif" w:hAnsi="Arial;sans-serif"/>
          <w:b/>
          <w:color w:val="000000"/>
          <w:sz w:val="20"/>
        </w:rPr>
        <w:t>Company</w:t>
      </w:r>
      <w:r>
        <w:rPr>
          <w:rFonts w:ascii="Arial;sans-serif" w:hAnsi="Arial;sans-serif"/>
          <w:b w:val="false"/>
          <w:color w:val="000000"/>
          <w:sz w:val="20"/>
        </w:rPr>
        <w:t>") under the United States Securities Act of 1933, as amended (the "</w:t>
      </w:r>
      <w:r>
        <w:rPr>
          <w:rFonts w:ascii="Arial;sans-serif" w:hAnsi="Arial;sans-serif"/>
          <w:b/>
          <w:color w:val="000000"/>
          <w:sz w:val="20"/>
        </w:rPr>
        <w:t>Securities Act</w:t>
      </w:r>
      <w:r>
        <w:rPr>
          <w:rFonts w:ascii="Arial;sans-serif" w:hAnsi="Arial;sans-serif"/>
          <w:b w:val="false"/>
          <w:color w:val="000000"/>
          <w:sz w:val="20"/>
        </w:rPr>
        <w:t>"), of:</w:t>
      </w:r>
    </w:p>
    <w:p>
      <w:pPr>
        <w:pStyle w:val="TextBody"/>
        <w:bidi w:val="0"/>
        <w:spacing w:before="0" w:after="0"/>
        <w:jc w:val="both"/>
        <w:rPr/>
      </w:pPr>
      <w:r>
        <w:rPr/>
      </w:r>
    </w:p>
    <w:p>
      <w:pPr>
        <w:pStyle w:val="TextBody"/>
        <w:bidi w:val="0"/>
        <w:spacing w:lineRule="auto" w:line="276" w:before="0" w:after="240"/>
        <w:ind w:left="0" w:right="0" w:hanging="720"/>
        <w:jc w:val="both"/>
        <w:rPr/>
      </w:pPr>
      <w:r>
        <w:rPr>
          <w:rFonts w:ascii="Arial;sans-serif" w:hAnsi="Arial;sans-serif"/>
          <w:b w:val="false"/>
          <w:color w:val="000000"/>
          <w:sz w:val="20"/>
        </w:rPr>
        <w:t>(i)pursuant to the terms of the Base Prospectus (as defined in Schedule 1) and one or more supplements to the Base Prospectus (each, a "</w:t>
      </w:r>
      <w:r>
        <w:rPr>
          <w:rFonts w:ascii="Arial;sans-serif" w:hAnsi="Arial;sans-serif"/>
          <w:b/>
          <w:color w:val="000000"/>
          <w:sz w:val="20"/>
        </w:rPr>
        <w:t>Prospectus Supplement</w:t>
      </w:r>
      <w:r>
        <w:rPr>
          <w:rFonts w:ascii="Arial;sans-serif" w:hAnsi="Arial;sans-serif"/>
          <w:b w:val="false"/>
          <w:color w:val="000000"/>
          <w:sz w:val="20"/>
        </w:rPr>
        <w:t>") relating to the registration for issue and sale by the Company of certain of the Company’s securities (the "</w:t>
      </w:r>
      <w:r>
        <w:rPr>
          <w:rFonts w:ascii="Arial;sans-serif" w:hAnsi="Arial;sans-serif"/>
          <w:b/>
          <w:color w:val="000000"/>
          <w:sz w:val="20"/>
        </w:rPr>
        <w:t>Securities</w:t>
      </w:r>
      <w:r>
        <w:rPr>
          <w:rFonts w:ascii="Arial;sans-serif" w:hAnsi="Arial;sans-serif"/>
          <w:b w:val="false"/>
          <w:color w:val="000000"/>
          <w:sz w:val="20"/>
        </w:rPr>
        <w:t>") consisting of:</w:t>
      </w:r>
    </w:p>
    <w:p>
      <w:pPr>
        <w:pStyle w:val="TextBody"/>
        <w:bidi w:val="0"/>
        <w:spacing w:lineRule="auto" w:line="288" w:before="0" w:after="240"/>
        <w:ind w:left="0" w:right="0" w:hanging="360"/>
        <w:jc w:val="both"/>
        <w:rPr/>
      </w:pPr>
      <w:r>
        <w:rPr>
          <w:rFonts w:ascii="Arial;sans-serif" w:hAnsi="Arial;sans-serif"/>
          <w:b w:val="false"/>
          <w:color w:val="000000"/>
          <w:sz w:val="20"/>
        </w:rPr>
        <w:t>a.8,094,793 ordinary shares (which includes up to an additional 1,293,103 ordinary shares which the Underwriters (as defined in Schedule 1) have the option to purchase from the Company), in each case with a nominal value of US$0.001 per share in the capital of the Company (the "</w:t>
      </w:r>
      <w:r>
        <w:rPr>
          <w:rFonts w:ascii="Arial;sans-serif" w:hAnsi="Arial;sans-serif"/>
          <w:b/>
          <w:color w:val="000000"/>
          <w:sz w:val="20"/>
        </w:rPr>
        <w:t>Ordinary Shares</w:t>
      </w:r>
      <w:r>
        <w:rPr>
          <w:rFonts w:ascii="Arial;sans-serif" w:hAnsi="Arial;sans-serif"/>
          <w:b w:val="false"/>
          <w:color w:val="000000"/>
          <w:sz w:val="20"/>
        </w:rPr>
        <w:t xml:space="preserve">"); </w:t>
      </w:r>
    </w:p>
    <w:p>
      <w:pPr>
        <w:pStyle w:val="TextBody"/>
        <w:bidi w:val="0"/>
        <w:spacing w:lineRule="auto" w:line="288" w:before="0" w:after="240"/>
        <w:ind w:left="0" w:right="0" w:hanging="360"/>
        <w:jc w:val="both"/>
        <w:rPr/>
      </w:pPr>
      <w:r>
        <w:rPr>
          <w:rFonts w:ascii="Arial;sans-serif" w:hAnsi="Arial;sans-serif"/>
          <w:b w:val="false"/>
          <w:color w:val="000000"/>
          <w:sz w:val="20"/>
        </w:rPr>
        <w:t>b.pre-funded warrants to purchase 525,897 Ordinary Shares (the "</w:t>
      </w:r>
      <w:r>
        <w:rPr>
          <w:rFonts w:ascii="Arial;sans-serif" w:hAnsi="Arial;sans-serif"/>
          <w:b/>
          <w:color w:val="000000"/>
          <w:sz w:val="20"/>
        </w:rPr>
        <w:t>Warrants</w:t>
      </w:r>
      <w:r>
        <w:rPr>
          <w:rFonts w:ascii="Arial;sans-serif" w:hAnsi="Arial;sans-serif"/>
          <w:b w:val="false"/>
          <w:color w:val="000000"/>
          <w:sz w:val="20"/>
        </w:rPr>
        <w:t xml:space="preserve">"); and </w:t>
      </w:r>
    </w:p>
    <w:p>
      <w:pPr>
        <w:pStyle w:val="TextBody"/>
        <w:bidi w:val="0"/>
        <w:spacing w:lineRule="auto" w:line="288" w:before="0" w:after="240"/>
        <w:ind w:left="0" w:right="0" w:hanging="360"/>
        <w:jc w:val="both"/>
        <w:rPr/>
      </w:pPr>
      <w:r>
        <w:rPr>
          <w:rFonts w:ascii="Arial;sans-serif" w:hAnsi="Arial;sans-serif"/>
          <w:b w:val="false"/>
          <w:color w:val="000000"/>
          <w:sz w:val="20"/>
        </w:rPr>
        <w:t>c.525,897 Ordinary Shares issuable upon exercise of the Warrants (the "</w:t>
      </w:r>
      <w:r>
        <w:rPr>
          <w:rFonts w:ascii="Arial;sans-serif" w:hAnsi="Arial;sans-serif"/>
          <w:b/>
          <w:color w:val="000000"/>
          <w:sz w:val="20"/>
        </w:rPr>
        <w:t>Warrant Shares</w:t>
      </w:r>
      <w:r>
        <w:rPr>
          <w:rFonts w:ascii="Arial;sans-serif" w:hAnsi="Arial;sans-serif"/>
          <w:b w:val="false"/>
          <w:color w:val="000000"/>
          <w:sz w:val="20"/>
        </w:rPr>
        <w:t>" and together with the Ordinary Shares, the "</w:t>
      </w:r>
      <w:r>
        <w:rPr>
          <w:rFonts w:ascii="Arial;sans-serif" w:hAnsi="Arial;sans-serif"/>
          <w:b/>
          <w:color w:val="000000"/>
          <w:sz w:val="20"/>
        </w:rPr>
        <w:t>Shares</w:t>
      </w:r>
      <w:r>
        <w:rPr>
          <w:rFonts w:ascii="Arial;sans-serif" w:hAnsi="Arial;sans-serif"/>
          <w:b w:val="false"/>
          <w:color w:val="000000"/>
          <w:sz w:val="20"/>
        </w:rPr>
        <w:t xml:space="preserve">").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For the purposes of giving this opinion, we have examined and relied upon the originals or copies of the documents listed in Schedule 1.</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Based upon the foregoing examinations and assumptions and upon such searches as we have conducted and having regard to legal considerations which we consider relevant, and under the laws of the Cayman Islands, we give the following opinions in relation to the matters set out below.</w:t>
      </w:r>
    </w:p>
    <w:p>
      <w:pPr>
        <w:pStyle w:val="TextBody"/>
        <w:bidi w:val="0"/>
        <w:spacing w:before="0" w:after="0"/>
        <w:jc w:val="both"/>
        <w:rPr/>
      </w:pPr>
      <w:r>
        <w:rPr/>
      </w:r>
    </w:p>
    <w:p>
      <w:pPr>
        <w:pStyle w:val="TextBody"/>
        <w:bidi w:val="0"/>
        <w:spacing w:lineRule="auto" w:line="276" w:before="0" w:after="240"/>
        <w:ind w:left="0" w:right="0" w:hanging="720"/>
        <w:jc w:val="both"/>
        <w:rPr/>
      </w:pPr>
      <w:r>
        <w:rPr>
          <w:rFonts w:ascii="Arial;sans-serif" w:hAnsi="Arial;sans-serif"/>
          <w:b w:val="false"/>
          <w:color w:val="000000"/>
          <w:sz w:val="20"/>
        </w:rPr>
        <w:t>1.The Company is an exempted company registered by way of continuation with limited liability, validly existing under the laws of the Cayman Islands and in good standing with the Registrar of Companies in the Cayman Islands (the "</w:t>
      </w:r>
      <w:r>
        <w:rPr>
          <w:rFonts w:ascii="Arial;sans-serif" w:hAnsi="Arial;sans-serif"/>
          <w:b/>
          <w:color w:val="000000"/>
          <w:sz w:val="20"/>
        </w:rPr>
        <w:t>Registrar</w:t>
      </w:r>
      <w:r>
        <w:rPr>
          <w:rFonts w:ascii="Arial;sans-serif" w:hAnsi="Arial;sans-serif"/>
          <w:b w:val="false"/>
          <w:color w:val="000000"/>
          <w:sz w:val="20"/>
        </w:rPr>
        <w:t>").</w:t>
      </w:r>
    </w:p>
    <w:p>
      <w:pPr>
        <w:pStyle w:val="TextBody"/>
        <w:bidi w:val="0"/>
        <w:spacing w:lineRule="auto" w:line="276"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2.The Ordinary Shares, as contemplated by the Documents (as defined in Schedule 1), have been duly authorised by all necessary corporate action of the Company and upon the issue of the Ordinary Shares (by the entry of the name of the registered owner thereof in the Register of Members of the Company confirming that such Ordinary Shares have been issued and credited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468" w:type="dxa"/>
        <w:jc w:val="left"/>
        <w:tblInd w:w="0" w:type="dxa"/>
        <w:tblLayout w:type="fixed"/>
        <w:tblCellMar>
          <w:top w:w="28" w:type="dxa"/>
          <w:left w:w="28" w:type="dxa"/>
          <w:bottom w:w="28" w:type="dxa"/>
          <w:right w:w="28" w:type="dxa"/>
        </w:tblCellMar>
      </w:tblPr>
      <w:tblGrid>
        <w:gridCol w:w="397"/>
        <w:gridCol w:w="349"/>
        <w:gridCol w:w="350"/>
        <w:gridCol w:w="109"/>
        <w:gridCol w:w="109"/>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sans-serif" w:hAnsi="Arial;sans-serif"/>
                <w:b/>
                <w:color w:val="000000"/>
                <w:sz w:val="20"/>
              </w:rPr>
            </w:pPr>
            <w:r>
              <w:rPr>
                <w:rFonts w:ascii="Arial;sans-serif" w:hAnsi="Arial;sans-serif"/>
                <w:b/>
                <w:color w:val="000000"/>
                <w:sz w:val="20"/>
              </w:rPr>
              <w:t>WALKERS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as fully paid), delivery and payment therefor by the purchaser in accordance with the Memorandum and Articles (as defined in Schedule 1) and in the manner contemplated by the Documents, the Ordinary Shares will be validly issued, fully paid and non-assessable (meaning that no additional sums may be levied in respect of such Ordinary Shares on the holder thereof by the Company). </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3.The Warrant Shares, to be issued upon the exercise of the Warrants as contemplated by the Documents, have been duly authorised by all necessary corporate action of the Company and upon the issue of such Warrant Shares (by the entry of the name of the registered owner thereof in the Register of Members of the Company confirming that such Warrant Shares have been issued and credited as fully paid), delivery and exercise of the Warrants in accordance with the Memorandum and Articles and in the manner contemplated by the Documents, such Warrant Shares will be validly issued, fully paid and non-assessable (meaning that no additional sums may be levied in respect of such Warrant Shares on the holder thereof by the Company).</w:t>
      </w:r>
    </w:p>
    <w:p>
      <w:pPr>
        <w:pStyle w:val="TextBody"/>
        <w:bidi w:val="0"/>
        <w:spacing w:lineRule="auto" w:line="276"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4.The execution, delivery and performance of the Warrant will have been authorised by and on behalf of the Company and, once the Warrant have been executed and unconditionally delivered by the Company, such documents, will be duly executed and delivered on behalf of the Company and will constitute the legal, valid and binding obligations of the Company enforceable in accordance with their terms.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foregoing opinions are given based on the following assumptions.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1.The originals of all documents examined in connection with this opinion are authentic. The signatures, initials and seals on the Documents and Resolutions (each as defined in Schedule 1) are, or will be, genuine and are, or will be, those of a person or persons stated therein. All documents purporting to be sealed have been, or will be, so sealed. All copies are complete and conform to their originals. The Documents when executed will conform in every material respect to the latest drafts of the same produced to us prior to the date hereof and, where provided in successive drafts, have been marked up to indicate all changes to such Documents.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2.The Memorandum and Articles will be the memorandum and articles of association of the Company in effect at the time of the issue of the Shares. </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3.Each Document and the documents or agreements referred to therein will be duly authorised, executed and delivered by or on behalf of all relevant parties prior to the issue and sale of Shares and will be legal, valid, binding and enforceable against all relevant parties in accordance with their terms.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4.The Company will offer, issue and sell the Shares in the manner contemplated by the Base Prospectus and any Prospectus Supplement and the documents or agreements referred to therein are otherwise in compliance with all applicable United States federal and state securities laws.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5.We have relied upon the statements and representations of directors, officers and other representatives of the Company as to factual matters.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6.The Company will receive consideration in money or money's worth for each Share offered by the Company when issued at the agreed issue price as per the terms of the Registration Statement, such price in any event not being less than the stated par or nominal value of each Share.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7.Each of the Documents will be duly authorised (other than by the Company with regard to the laws of the Cayman Islands), and, where applicable, executed and delivered by or on behalf of all relevant parties prior to the issue and sale of the Shares and will be legal, valid, binding and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468" w:type="dxa"/>
        <w:jc w:val="left"/>
        <w:tblInd w:w="0" w:type="dxa"/>
        <w:tblLayout w:type="fixed"/>
        <w:tblCellMar>
          <w:top w:w="28" w:type="dxa"/>
          <w:left w:w="28" w:type="dxa"/>
          <w:bottom w:w="28" w:type="dxa"/>
          <w:right w:w="28" w:type="dxa"/>
        </w:tblCellMar>
      </w:tblPr>
      <w:tblGrid>
        <w:gridCol w:w="397"/>
        <w:gridCol w:w="349"/>
        <w:gridCol w:w="350"/>
        <w:gridCol w:w="109"/>
        <w:gridCol w:w="109"/>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sans-serif" w:hAnsi="Arial;sans-serif"/>
                <w:b/>
                <w:color w:val="000000"/>
                <w:sz w:val="20"/>
              </w:rPr>
            </w:pPr>
            <w:r>
              <w:rPr>
                <w:rFonts w:ascii="Arial;sans-serif" w:hAnsi="Arial;sans-serif"/>
                <w:b/>
                <w:color w:val="000000"/>
                <w:sz w:val="20"/>
              </w:rPr>
              <w:t>WALKERS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enforceable against all relevant parties in accordance with their terms under the laws of the State of New York and all other relevant laws (other than the laws of the Cayman Islands). </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8.The choice of New York law as the governing law of the Warrant has been made in good faith and would be regarded as a valid and binding selection which will be upheld by the courts of the State of New York as a matter of New York law and all other relevant laws (other than the laws of the Cayman Islands).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9.The power, authority and legal right of all parties under all relevant laws and regulations (other than the Company under the laws of the Cayman Islands) to enter into, execute and perform their respective obligations under the Documents.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10.All preconditions to the obligations of the parties to the Warrant will be satisfied or duly waived prior to the issue and sale of the Shares and there will be no breach of the terms of the Warrant.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opinions expressed above are subject to the following qualifications:</w:t>
      </w:r>
    </w:p>
    <w:p>
      <w:pPr>
        <w:pStyle w:val="TextBody"/>
        <w:bidi w:val="0"/>
        <w:spacing w:lineRule="auto" w:line="288" w:before="0" w:after="240"/>
        <w:ind w:left="0" w:right="0" w:hanging="720"/>
        <w:jc w:val="both"/>
        <w:rPr/>
      </w:pPr>
      <w:r>
        <w:rPr>
          <w:rFonts w:ascii="Arial;sans-serif" w:hAnsi="Arial;sans-serif"/>
          <w:b w:val="false"/>
          <w:color w:val="000000"/>
          <w:sz w:val="20"/>
        </w:rPr>
        <w:t>1.The term "</w:t>
      </w:r>
      <w:r>
        <w:rPr>
          <w:rFonts w:ascii="Arial;sans-serif" w:hAnsi="Arial;sans-serif"/>
          <w:b/>
          <w:color w:val="000000"/>
          <w:sz w:val="20"/>
        </w:rPr>
        <w:t>enforceable</w:t>
      </w:r>
      <w:r>
        <w:rPr>
          <w:rFonts w:ascii="Arial;sans-serif" w:hAnsi="Arial;sans-serif"/>
          <w:b w:val="false"/>
          <w:color w:val="000000"/>
          <w:sz w:val="20"/>
        </w:rPr>
        <w:t>" and its cognates as used in this opinion means that the obligations assumed by any party under the Documents are of a type which the courts of the Cayman Islands (the "</w:t>
      </w:r>
      <w:r>
        <w:rPr>
          <w:rFonts w:ascii="Arial;sans-serif" w:hAnsi="Arial;sans-serif"/>
          <w:b/>
          <w:color w:val="000000"/>
          <w:sz w:val="20"/>
        </w:rPr>
        <w:t>Courts</w:t>
      </w:r>
      <w:r>
        <w:rPr>
          <w:rFonts w:ascii="Arial;sans-serif" w:hAnsi="Arial;sans-serif"/>
          <w:b w:val="false"/>
          <w:color w:val="000000"/>
          <w:sz w:val="20"/>
        </w:rPr>
        <w:t>" and each a "</w:t>
      </w:r>
      <w:r>
        <w:rPr>
          <w:rFonts w:ascii="Arial;sans-serif" w:hAnsi="Arial;sans-serif"/>
          <w:b/>
          <w:color w:val="000000"/>
          <w:sz w:val="20"/>
        </w:rPr>
        <w:t>Court</w:t>
      </w:r>
      <w:r>
        <w:rPr>
          <w:rFonts w:ascii="Arial;sans-serif" w:hAnsi="Arial;sans-serif"/>
          <w:b w:val="false"/>
          <w:color w:val="000000"/>
          <w:sz w:val="20"/>
        </w:rPr>
        <w:t>") enforce. This does not mean that those obligations will necessarily be enforced in all circumstances in accordance with their terms. In particular:</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(a)enforcement of obligations and the priority of obligations may be limited by bankruptcy, insolvency, liquidation, restructuring, reorganisation, readjustment of debts or moratorium and other laws of general application relating to or affecting the rights of creditors or by prescription or lapse of time;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(b)enforcement may be limited by general principles of equity and, in particular, the availability of certain equitable remedies such as injunction or specific performance of an obligation may be limited where a Court considers damages to be an adequate remedy;</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(c)claims may become barred under statutes of limitation or may be or become subject to defences of set-off, counterclaim, estoppel and similar defences;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(d)where obligations are to be performed in a jurisdiction outside the Cayman Islands, they may not be enforceable in the Cayman Islands to the extent that performance would be illegal under the laws of, or contrary to the public policy of, that jurisdiction;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(e)a judgment of a Court may be required to be made in Cayman Islands dollars;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(f)to the extent that any provision of the Documents is adjudicated to be penal in nature, it will not be enforceable in the Courts; in particular, the enforceability of any provision of the Documents that is adjudicated to constitute a secondary obligation which imposes a detriment on the contract-breaker out of all proportion to any legitimate interest of the innocent party in the enforcement of the primary obligation may be limited; </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(g)to the extent that the performance of any obligation arising under the Documents would be fraudulent or contrary to public policy, it will not be enforceable in the Courts;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(h)in the case of an insolvent liquidation of the Company, its liabilities are required to be translated into the functional currency of the Company (being the currency of the primary economic environment in which it operated as at the commencement of the liquidation) at the exchange rates prevailing on the date of commencement of the voluntary liquidation or the day on which the winding up order is made (as the case may be);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468" w:type="dxa"/>
        <w:jc w:val="left"/>
        <w:tblInd w:w="0" w:type="dxa"/>
        <w:tblLayout w:type="fixed"/>
        <w:tblCellMar>
          <w:top w:w="28" w:type="dxa"/>
          <w:left w:w="28" w:type="dxa"/>
          <w:bottom w:w="28" w:type="dxa"/>
          <w:right w:w="28" w:type="dxa"/>
        </w:tblCellMar>
      </w:tblPr>
      <w:tblGrid>
        <w:gridCol w:w="397"/>
        <w:gridCol w:w="349"/>
        <w:gridCol w:w="350"/>
        <w:gridCol w:w="109"/>
        <w:gridCol w:w="109"/>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sans-serif" w:hAnsi="Arial;sans-serif"/>
                <w:b/>
                <w:color w:val="000000"/>
                <w:sz w:val="20"/>
              </w:rPr>
            </w:pPr>
            <w:r>
              <w:rPr>
                <w:rFonts w:ascii="Arial;sans-serif" w:hAnsi="Arial;sans-serif"/>
                <w:b/>
                <w:color w:val="000000"/>
                <w:sz w:val="20"/>
              </w:rPr>
              <w:t>WALKERS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(i)a Court will not necessarily award costs in litigation in accordance with contractual provisions in this regard;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(j)the effectiveness of terms in the Documents excusing any party from a liability or duty otherwise owed or indemnifying that party from the consequences of incurring such liability or breaching such duty shall be construed in accordance with, and shall be limited by, applicable law, including generally applicable rules and principles of common law and equity.</w:t>
      </w:r>
    </w:p>
    <w:p>
      <w:pPr>
        <w:pStyle w:val="TextBody"/>
        <w:bidi w:val="0"/>
        <w:spacing w:lineRule="auto" w:line="288" w:before="0" w:after="240"/>
        <w:ind w:left="0" w:right="0" w:hanging="720"/>
        <w:jc w:val="both"/>
        <w:rPr/>
      </w:pPr>
      <w:r>
        <w:rPr>
          <w:rFonts w:ascii="Arial;sans-serif" w:hAnsi="Arial;sans-serif"/>
          <w:b w:val="false"/>
          <w:color w:val="000000"/>
          <w:sz w:val="20"/>
        </w:rPr>
        <w:t>2.Our opinion as to the good standing of the Company is based solely upon receipt of the Certificate of Good Standing (as defined in Schedule 1) issued by the Registrar. The Company shall be deemed to be in good standing under Section 200A of the Companies Act (as amended) of the Cayman Islands (the "</w:t>
      </w:r>
      <w:r>
        <w:rPr>
          <w:rFonts w:ascii="Arial;sans-serif" w:hAnsi="Arial;sans-serif"/>
          <w:b/>
          <w:color w:val="000000"/>
          <w:sz w:val="20"/>
        </w:rPr>
        <w:t>Companies Act</w:t>
      </w:r>
      <w:r>
        <w:rPr>
          <w:rFonts w:ascii="Arial;sans-serif" w:hAnsi="Arial;sans-serif"/>
          <w:b w:val="false"/>
          <w:color w:val="000000"/>
          <w:sz w:val="20"/>
        </w:rPr>
        <w:t>") on the date of issue of the Certificate of Good Standing if all fees and penalties under the Companies Act have been paid and the Registrar has no knowledge that the Company is in default under the Companies Act.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other than persons entitled to rely upon it pursuant to the provisions of the Securities Act, without our prior written consent.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This opinion shall be construed in accordance with the laws of the Cayman Islands.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hereby consent to the use of this opinion as an exhibit to the Registration Statement and further consent to all references to us in the Registration Statement and any amendments thereto.</w:t>
      </w:r>
    </w:p>
    <w:p>
      <w:pPr>
        <w:pStyle w:val="TextBody"/>
        <w:bidi w:val="0"/>
        <w:spacing w:lineRule="auto" w:line="288" w:before="240" w:after="960"/>
        <w:jc w:val="both"/>
        <w:rPr>
          <w:rFonts w:ascii="Arial;sans-serif" w:hAnsi="Arial;sans-serif"/>
          <w:b w:val="false"/>
          <w:color w:val="000000"/>
          <w:sz w:val="20"/>
        </w:rPr>
      </w:pPr>
      <w:r>
        <w:rPr>
          <w:rFonts w:ascii="Arial;sans-serif" w:hAnsi="Arial;sans-serif"/>
          <w:b w:val="false"/>
          <w:color w:val="000000"/>
          <w:sz w:val="20"/>
        </w:rPr>
        <w:t>Yours faithfully,</w:t>
      </w:r>
    </w:p>
    <w:p>
      <w:pPr>
        <w:pStyle w:val="TextBody"/>
        <w:bidi w:val="0"/>
        <w:spacing w:lineRule="auto" w:line="240" w:before="240" w:after="960"/>
        <w:jc w:val="both"/>
        <w:rPr>
          <w:rFonts w:ascii="Arial;sans-serif" w:hAnsi="Arial;sans-serif"/>
          <w:b w:val="false"/>
          <w:color w:val="000000"/>
          <w:sz w:val="20"/>
        </w:rPr>
      </w:pPr>
      <w:r>
        <w:rPr>
          <w:rFonts w:ascii="Arial;sans-serif" w:hAnsi="Arial;sans-serif"/>
          <w:b w:val="false"/>
          <w:color w:val="000000"/>
          <w:sz w:val="20"/>
        </w:rPr>
        <w:t>/s/ Walkers (Cayman) LLP</w:t>
      </w:r>
    </w:p>
    <w:p>
      <w:pPr>
        <w:pStyle w:val="TextBody"/>
        <w:bidi w:val="0"/>
        <w:spacing w:lineRule="auto" w:line="288" w:before="1200" w:after="283"/>
        <w:jc w:val="both"/>
        <w:rPr>
          <w:rFonts w:ascii="Arial;sans-serif" w:hAnsi="Arial;sans-serif"/>
          <w:b/>
          <w:color w:val="000000"/>
          <w:sz w:val="20"/>
        </w:rPr>
      </w:pPr>
      <w:r>
        <w:rPr>
          <w:rFonts w:ascii="Arial;sans-serif" w:hAnsi="Arial;sans-serif"/>
          <w:b/>
          <w:color w:val="000000"/>
          <w:sz w:val="20"/>
        </w:rPr>
        <w:t>Walkers (Cayman) LLP</w:t>
      </w:r>
    </w:p>
    <w:p>
      <w:pPr>
        <w:pStyle w:val="TextBody"/>
        <w:bidi w:val="0"/>
        <w:spacing w:before="0" w:after="0"/>
        <w:jc w:val="both"/>
        <w:rPr/>
      </w:pPr>
      <w:r>
        <w:rPr/>
      </w:r>
    </w:p>
    <w:p>
      <w:pPr>
        <w:pStyle w:val="TextBody"/>
        <w:bidi w:val="0"/>
        <w:spacing w:before="0" w:after="24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468" w:type="dxa"/>
        <w:jc w:val="left"/>
        <w:tblInd w:w="0" w:type="dxa"/>
        <w:tblLayout w:type="fixed"/>
        <w:tblCellMar>
          <w:top w:w="28" w:type="dxa"/>
          <w:left w:w="28" w:type="dxa"/>
          <w:bottom w:w="28" w:type="dxa"/>
          <w:right w:w="28" w:type="dxa"/>
        </w:tblCellMar>
      </w:tblPr>
      <w:tblGrid>
        <w:gridCol w:w="397"/>
        <w:gridCol w:w="349"/>
        <w:gridCol w:w="350"/>
        <w:gridCol w:w="109"/>
        <w:gridCol w:w="109"/>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sans-serif" w:hAnsi="Arial;sans-serif"/>
                <w:b/>
                <w:color w:val="000000"/>
                <w:sz w:val="20"/>
              </w:rPr>
            </w:pPr>
            <w:r>
              <w:rPr>
                <w:rFonts w:ascii="Arial;sans-serif" w:hAnsi="Arial;sans-serif"/>
                <w:b/>
                <w:color w:val="000000"/>
                <w:sz w:val="20"/>
              </w:rPr>
              <w:t>WALKERS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SCHEDULE 1</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LIST OF DOCUMENTS EXAMINED</w:t>
      </w:r>
    </w:p>
    <w:p>
      <w:pPr>
        <w:pStyle w:val="TextBody"/>
        <w:bidi w:val="0"/>
        <w:spacing w:lineRule="auto" w:line="288" w:before="0" w:after="240"/>
        <w:ind w:left="0" w:right="0" w:hanging="360"/>
        <w:jc w:val="both"/>
        <w:rPr/>
      </w:pPr>
      <w:r>
        <w:rPr>
          <w:rFonts w:ascii="Arial;sans-serif" w:hAnsi="Arial;sans-serif"/>
          <w:b w:val="false"/>
          <w:color w:val="000000"/>
          <w:sz w:val="20"/>
        </w:rPr>
        <w:t>1.The Certificate of Registration By Way of Continuation of the Company dated 16 June 2025, the Memorandum and Articles of Association of the Company adopted by special resolution on 5 June 2025 and effective as of 16 June 2025) (the "</w:t>
      </w:r>
      <w:r>
        <w:rPr>
          <w:rFonts w:ascii="Arial;sans-serif" w:hAnsi="Arial;sans-serif"/>
          <w:b/>
          <w:color w:val="000000"/>
          <w:sz w:val="20"/>
        </w:rPr>
        <w:t>Memorandum and Articles of Association</w:t>
      </w:r>
      <w:r>
        <w:rPr>
          <w:rFonts w:ascii="Arial;sans-serif" w:hAnsi="Arial;sans-serif"/>
          <w:b w:val="false"/>
          <w:color w:val="000000"/>
          <w:sz w:val="20"/>
        </w:rPr>
        <w:t>") and each of the Register of Directors, Register of Officers and Register of Mortgages and Charges of the Company (together, the "</w:t>
      </w:r>
      <w:r>
        <w:rPr>
          <w:rFonts w:ascii="Arial;sans-serif" w:hAnsi="Arial;sans-serif"/>
          <w:b/>
          <w:color w:val="000000"/>
          <w:sz w:val="20"/>
        </w:rPr>
        <w:t>Company Records</w:t>
      </w:r>
      <w:r>
        <w:rPr>
          <w:rFonts w:ascii="Arial;sans-serif" w:hAnsi="Arial;sans-serif"/>
          <w:b w:val="false"/>
          <w:color w:val="000000"/>
          <w:sz w:val="20"/>
        </w:rPr>
        <w: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 xml:space="preserve">2.The Cayman Online Registry Information System (CORIS), the Cayman Islands' General Registry's online database, searched on 14 July 2026. </w:t>
      </w:r>
    </w:p>
    <w:p>
      <w:pPr>
        <w:pStyle w:val="TextBody"/>
        <w:bidi w:val="0"/>
        <w:spacing w:lineRule="auto" w:line="276" w:before="0" w:after="240"/>
        <w:ind w:left="0" w:right="0" w:hanging="360"/>
        <w:jc w:val="both"/>
        <w:rPr/>
      </w:pPr>
      <w:r>
        <w:rPr>
          <w:rFonts w:ascii="Arial;sans-serif" w:hAnsi="Arial;sans-serif"/>
          <w:b w:val="false"/>
          <w:color w:val="000000"/>
          <w:sz w:val="20"/>
        </w:rPr>
        <w:t>3.A Certificate of Good Standing dated 14 July 2026 in respect of the Company issued by the Registrar (the "</w:t>
      </w:r>
      <w:r>
        <w:rPr>
          <w:rFonts w:ascii="Arial;sans-serif" w:hAnsi="Arial;sans-serif"/>
          <w:b/>
          <w:color w:val="000000"/>
          <w:sz w:val="20"/>
        </w:rPr>
        <w:t>Certificate of Good Standing</w:t>
      </w:r>
      <w:r>
        <w:rPr>
          <w:rFonts w:ascii="Arial;sans-serif" w:hAnsi="Arial;sans-serif"/>
          <w:b w:val="false"/>
          <w:color w:val="000000"/>
          <w:sz w:val="20"/>
        </w:rPr>
        <w:t>").</w:t>
      </w:r>
    </w:p>
    <w:p>
      <w:pPr>
        <w:pStyle w:val="TextBody"/>
        <w:bidi w:val="0"/>
        <w:spacing w:lineRule="auto" w:line="276" w:before="0" w:after="240"/>
        <w:ind w:left="0" w:right="0" w:hanging="360"/>
        <w:jc w:val="both"/>
        <w:rPr/>
      </w:pPr>
      <w:r>
        <w:rPr>
          <w:rFonts w:ascii="Arial;sans-serif" w:hAnsi="Arial;sans-serif"/>
          <w:b w:val="false"/>
          <w:color w:val="000000"/>
          <w:sz w:val="20"/>
        </w:rPr>
        <w:t>4.A copy of executed written resolutions of the Board of Directors of the Company dated 10 July 2026 approving, among others, the issuance of the Shares, and a copy of the executed Secretary's Certificate of the Company dated 14 July 2026 relating to resolutions adopted at a meeting of the pricing committee of the Company dated 14 July 2026 (together, the "</w:t>
      </w:r>
      <w:r>
        <w:rPr>
          <w:rFonts w:ascii="Arial;sans-serif" w:hAnsi="Arial;sans-serif"/>
          <w:b/>
          <w:color w:val="000000"/>
          <w:sz w:val="20"/>
        </w:rPr>
        <w:t>Resolutions</w:t>
      </w:r>
      <w:r>
        <w:rPr>
          <w:rFonts w:ascii="Arial;sans-serif" w:hAnsi="Arial;sans-serif"/>
          <w:b w:val="false"/>
          <w:color w:val="000000"/>
          <w:sz w:val="20"/>
        </w:rPr>
        <w:t>").</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5.Copies of the following:</w:t>
      </w:r>
    </w:p>
    <w:p>
      <w:pPr>
        <w:pStyle w:val="TextBody"/>
        <w:bidi w:val="0"/>
        <w:spacing w:lineRule="auto" w:line="288" w:before="0" w:after="240"/>
        <w:ind w:left="0" w:right="0" w:hanging="360"/>
        <w:jc w:val="both"/>
        <w:rPr/>
      </w:pPr>
      <w:r>
        <w:rPr>
          <w:rFonts w:ascii="Arial;sans-serif" w:hAnsi="Arial;sans-serif"/>
          <w:b w:val="false"/>
          <w:color w:val="000000"/>
          <w:sz w:val="20"/>
        </w:rPr>
        <w:t>a.The Registration Statement on Form S-3 containing a base prospectus dated July 10, 2026 (the "</w:t>
      </w:r>
      <w:r>
        <w:rPr>
          <w:rFonts w:ascii="Arial;sans-serif" w:hAnsi="Arial;sans-serif"/>
          <w:b/>
          <w:color w:val="000000"/>
          <w:sz w:val="20"/>
        </w:rPr>
        <w:t>Base Prospectus</w:t>
      </w:r>
      <w:r>
        <w:rPr>
          <w:rFonts w:ascii="Arial;sans-serif" w:hAnsi="Arial;sans-serif"/>
          <w:b w:val="false"/>
          <w:color w:val="000000"/>
          <w:sz w:val="20"/>
        </w:rPr>
        <w:t>"), as supplemented by one or more supplements to the Base Prospectus (each, a "</w:t>
      </w:r>
      <w:r>
        <w:rPr>
          <w:rFonts w:ascii="Arial;sans-serif" w:hAnsi="Arial;sans-serif"/>
          <w:b/>
          <w:color w:val="000000"/>
          <w:sz w:val="20"/>
        </w:rPr>
        <w:t>Prospectus Supplement</w:t>
      </w:r>
      <w:r>
        <w:rPr>
          <w:rFonts w:ascii="Arial;sans-serif" w:hAnsi="Arial;sans-serif"/>
          <w:b w:val="false"/>
          <w:color w:val="000000"/>
          <w:sz w:val="20"/>
        </w:rPr>
        <w:t>") filed by the Company with the United States Securities and Exchange Commission on July 14, 2026 and July 15, 2026, each to register the Securities under the Securities Act, including the documents incorporated by reference (collectively, the "</w:t>
      </w:r>
      <w:r>
        <w:rPr>
          <w:rFonts w:ascii="Arial;sans-serif" w:hAnsi="Arial;sans-serif"/>
          <w:b/>
          <w:color w:val="000000"/>
          <w:sz w:val="20"/>
        </w:rPr>
        <w:t>Registration Statement</w:t>
      </w:r>
      <w:r>
        <w:rPr>
          <w:rFonts w:ascii="Arial;sans-serif" w:hAnsi="Arial;sans-serif"/>
          <w:b w:val="false"/>
          <w:color w:val="000000"/>
          <w:sz w:val="20"/>
        </w:rPr>
        <w:t>");</w:t>
      </w:r>
    </w:p>
    <w:p>
      <w:pPr>
        <w:pStyle w:val="TextBody"/>
        <w:bidi w:val="0"/>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 xml:space="preserve">b.an executed copy of the underwriting agreement dated July 14, 2026 by and among the Company, Jefferies LLC and TD Securities (USA) LLC as representatives of the several underwriters named therein; and </w:t>
      </w:r>
    </w:p>
    <w:p>
      <w:pPr>
        <w:pStyle w:val="TextBody"/>
        <w:bidi w:val="0"/>
        <w:spacing w:lineRule="auto" w:line="288" w:before="0" w:after="240"/>
        <w:ind w:left="0" w:right="0" w:hanging="360"/>
        <w:jc w:val="both"/>
        <w:rPr/>
      </w:pPr>
      <w:r>
        <w:rPr>
          <w:rFonts w:ascii="Arial;sans-serif" w:hAnsi="Arial;sans-serif"/>
          <w:b w:val="false"/>
          <w:color w:val="000000"/>
          <w:sz w:val="20"/>
        </w:rPr>
        <w:t>c.a draft of the form of the warrant to be issued by the Company (the "</w:t>
      </w:r>
      <w:r>
        <w:rPr>
          <w:rFonts w:ascii="Arial;sans-serif" w:hAnsi="Arial;sans-serif"/>
          <w:b/>
          <w:color w:val="000000"/>
          <w:sz w:val="20"/>
        </w:rPr>
        <w:t>Warrant</w:t>
      </w:r>
      <w:r>
        <w:rPr>
          <w:rFonts w:ascii="Arial;sans-serif" w:hAnsi="Arial;sans-serif"/>
          <w:b w:val="false"/>
          <w:color w:val="000000"/>
          <w:sz w:val="20"/>
        </w:rPr>
        <w:t>").</w:t>
      </w:r>
    </w:p>
    <w:p>
      <w:pPr>
        <w:pStyle w:val="TextBody"/>
        <w:bidi w:val="0"/>
        <w:spacing w:lineRule="auto" w:line="288" w:before="0" w:after="240"/>
        <w:ind w:left="0" w:right="0" w:hanging="360"/>
        <w:jc w:val="both"/>
        <w:rPr/>
      </w:pPr>
      <w:r>
        <w:rPr>
          <w:rFonts w:ascii="Arial;sans-serif" w:hAnsi="Arial;sans-serif"/>
          <w:b w:val="false"/>
          <w:color w:val="000000"/>
          <w:sz w:val="20"/>
        </w:rPr>
        <w:t>6.The documents listed in paragraphs 5(a) to (c) above inclusive are collectively referred to in this opinion as the "</w:t>
      </w:r>
      <w:r>
        <w:rPr>
          <w:rFonts w:ascii="Arial;sans-serif" w:hAnsi="Arial;sans-serif"/>
          <w:b/>
          <w:color w:val="000000"/>
          <w:sz w:val="20"/>
        </w:rPr>
        <w:t>Documents</w:t>
      </w:r>
      <w:r>
        <w:rPr>
          <w:rFonts w:ascii="Arial;sans-serif" w:hAnsi="Arial;sans-serif"/>
          <w:b w:val="false"/>
          <w:color w:val="000000"/>
          <w:sz w:val="20"/>
        </w:rPr>
        <w:t>".</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7.Such other documents as we have deemed necessary to render the opinions set forth herein.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20" w:before="0" w:after="0"/>
        <w:jc w:val="right"/>
        <w:rPr>
          <w:rFonts w:ascii="Times New Roman;serif" w:hAnsi="Times New Roman;serif"/>
          <w:b/>
          <w:color w:val="000000"/>
          <w:sz w:val="22"/>
        </w:rPr>
      </w:pPr>
      <w:r>
        <w:rPr>
          <w:rFonts w:ascii="Times New Roman;serif" w:hAnsi="Times New Roman;serif"/>
          <w:b/>
          <w:color w:val="000000"/>
          <w:sz w:val="22"/>
        </w:rPr>
        <w:t>Exhibit 5.2</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76" w:before="0" w:after="0"/>
        <w:jc w:val="right"/>
        <w:rPr>
          <w:rFonts w:ascii="Arial;sans-serif" w:hAnsi="Arial;sans-serif"/>
          <w:b w:val="false"/>
          <w:color w:val="494949"/>
          <w:sz w:val="14"/>
        </w:rPr>
      </w:pPr>
      <w:r>
        <w:rPr>
          <w:rFonts w:ascii="Arial;sans-serif" w:hAnsi="Arial;sans-serif"/>
          <w:b w:val="false"/>
          <w:color w:val="494949"/>
          <w:sz w:val="14"/>
        </w:rPr>
        <w:t>200 Clarendon Street</w:t>
      </w:r>
    </w:p>
    <w:p>
      <w:pPr>
        <w:pStyle w:val="TextBody"/>
        <w:bidi w:val="0"/>
        <w:spacing w:lineRule="atLeast" w:line="220" w:before="0" w:after="0"/>
        <w:jc w:val="right"/>
        <w:rPr>
          <w:rFonts w:ascii="Arial;sans-serif" w:hAnsi="Arial;sans-serif"/>
          <w:b w:val="false"/>
          <w:color w:val="494949"/>
          <w:sz w:val="14"/>
        </w:rPr>
      </w:pPr>
      <w:r>
        <w:rPr>
          <w:rFonts w:ascii="Arial;sans-serif" w:hAnsi="Arial;sans-serif"/>
          <w:b w:val="false"/>
          <w:color w:val="494949"/>
          <w:sz w:val="14"/>
        </w:rPr>
        <w:t>Boston, Massachusetts 02116</w:t>
      </w:r>
    </w:p>
    <w:p>
      <w:pPr>
        <w:pStyle w:val="TextBody"/>
        <w:bidi w:val="0"/>
        <w:spacing w:lineRule="atLeast" w:line="220" w:before="0" w:after="0"/>
        <w:jc w:val="right"/>
        <w:rPr>
          <w:rFonts w:ascii="Arial;sans-serif" w:hAnsi="Arial;sans-serif"/>
          <w:b w:val="false"/>
          <w:color w:val="494949"/>
          <w:sz w:val="14"/>
        </w:rPr>
      </w:pPr>
      <w:r>
        <w:rPr>
          <w:rFonts w:ascii="Arial;sans-serif" w:hAnsi="Arial;sans-serif"/>
          <w:b w:val="false"/>
          <w:color w:val="494949"/>
          <w:sz w:val="14"/>
        </w:rPr>
        <w:t>Tel: +1.617.948.6000 Fax: +1.617.948.6001</w:t>
      </w:r>
    </w:p>
    <w:p>
      <w:pPr>
        <w:pStyle w:val="TextBody"/>
        <w:bidi w:val="0"/>
        <w:spacing w:lineRule="atLeast" w:line="220" w:before="0" w:after="115"/>
        <w:jc w:val="right"/>
        <w:rPr>
          <w:rFonts w:ascii="Arial;sans-serif" w:hAnsi="Arial;sans-serif"/>
          <w:b w:val="false"/>
          <w:color w:val="494949"/>
          <w:sz w:val="14"/>
        </w:rPr>
      </w:pPr>
      <w:r>
        <w:rPr>
          <w:rFonts w:ascii="Arial;sans-serif" w:hAnsi="Arial;sans-serif"/>
          <w:b w:val="false"/>
          <w:color w:val="494949"/>
          <w:sz w:val="14"/>
        </w:rPr>
        <w:t>www.lw.com</w:t>
      </w:r>
    </w:p>
    <w:p>
      <w:pPr>
        <w:pStyle w:val="TextBody"/>
        <w:bidi w:val="0"/>
        <w:spacing w:lineRule="auto" w:line="288" w:before="0" w:after="0"/>
        <w:jc w:val="left"/>
        <w:rPr/>
      </w:pPr>
      <w:r>
        <w:rPr/>
        <w:drawing>
          <wp:inline distT="0" distB="0" distL="0" distR="0">
            <wp:extent cx="3657600" cy="333375"/>
            <wp:effectExtent l="0" t="0" r="0" b="0"/>
            <wp:docPr id="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 descr=""/>
                    <pic:cNvPicPr>
                      <a:picLocks noChangeAspect="1" noChangeArrowheads="1"/>
                    </pic:cNvPicPr>
                  </pic:nvPicPr>
                  <pic:blipFill>
                    <a:blip r:embed="rId3"/>
                    <a:stretch>
                      <a:fillRect/>
                    </a:stretch>
                  </pic:blipFill>
                  <pic:spPr bwMode="auto">
                    <a:xfrm>
                      <a:off x="0" y="0"/>
                      <a:ext cx="3657600" cy="333375"/>
                    </a:xfrm>
                    <a:prstGeom prst="rect">
                      <a:avLst/>
                    </a:prstGeom>
                  </pic:spPr>
                </pic:pic>
              </a:graphicData>
            </a:graphic>
          </wp:inline>
        </w:drawing>
      </w:r>
      <w:r>
        <w:rPr>
          <w:color w:val="494949"/>
        </w:rPr>
        <w:t>    </w:t>
      </w:r>
      <w:r>
        <w:rPr>
          <w:rFonts w:ascii="Arial;sans-serif" w:hAnsi="Arial;sans-serif"/>
          <w:b w:val="false"/>
          <w:color w:val="494949"/>
          <w:sz w:val="14"/>
        </w:rPr>
        <w:t>FIRM / AFFILIATE OFFICES</w:t>
      </w:r>
    </w:p>
    <w:p>
      <w:pPr>
        <w:pStyle w:val="TextBody"/>
        <w:bidi w:val="0"/>
        <w:spacing w:lineRule="atLeast" w:line="220" w:before="0" w:after="0"/>
        <w:jc w:val="left"/>
        <w:rPr>
          <w:rFonts w:ascii="Arial;sans-serif" w:hAnsi="Arial;sans-serif"/>
          <w:b w:val="false"/>
          <w:color w:val="494949"/>
          <w:sz w:val="14"/>
        </w:rPr>
      </w:pPr>
      <w:r>
        <w:rPr>
          <w:rFonts w:ascii="Arial;sans-serif" w:hAnsi="Arial;sans-serif"/>
          <w:b w:val="false"/>
          <w:color w:val="494949"/>
          <w:sz w:val="14"/>
        </w:rPr>
        <w:t>Austin        Milan</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Beijing        Munich</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Boston        New York</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Brussels        Orange County</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Chicago        Paris</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Dubai        Riyadh</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Düsseldorf        San Diego</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Frankfurt        San Francisco</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Hamburg        Seoul</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Hong Kong        Silicon Valley</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Houston        Singapore</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London        Tel Aviv</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Los Angeles    Tokyo</w:t>
      </w:r>
    </w:p>
    <w:p>
      <w:pPr>
        <w:pStyle w:val="TextBody"/>
        <w:bidi w:val="0"/>
        <w:spacing w:lineRule="atLeast" w:line="220" w:before="0" w:after="0"/>
        <w:ind w:left="0" w:right="0" w:firstLine="720"/>
        <w:jc w:val="left"/>
        <w:rPr>
          <w:rFonts w:ascii="Arial;sans-serif" w:hAnsi="Arial;sans-serif"/>
          <w:b w:val="false"/>
          <w:color w:val="494949"/>
          <w:sz w:val="14"/>
        </w:rPr>
      </w:pPr>
      <w:r>
        <w:rPr>
          <w:rFonts w:ascii="Arial;sans-serif" w:hAnsi="Arial;sans-serif"/>
          <w:b w:val="false"/>
          <w:color w:val="494949"/>
          <w:sz w:val="14"/>
        </w:rPr>
        <w:t>Madrid        Washington, D.C.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July 15,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Crescent Biopharma,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300 Fifth Avenue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Waltham, MA 02451 </w:t>
      </w:r>
    </w:p>
    <w:p>
      <w:pPr>
        <w:pStyle w:val="TextBody"/>
        <w:bidi w:val="0"/>
        <w:spacing w:before="0" w:after="0"/>
        <w:jc w:val="left"/>
        <w:rPr/>
      </w:pPr>
      <w:r>
        <w:rPr/>
      </w:r>
    </w:p>
    <w:p>
      <w:pPr>
        <w:pStyle w:val="TextBody"/>
        <w:bidi w:val="0"/>
        <w:spacing w:lineRule="auto" w:line="288" w:before="240" w:after="283"/>
        <w:ind w:left="0" w:right="0" w:hanging="720"/>
        <w:jc w:val="left"/>
        <w:rPr/>
      </w:pPr>
      <w:r>
        <w:rPr>
          <w:rFonts w:ascii="Times New Roman;serif" w:hAnsi="Times New Roman;serif"/>
          <w:b w:val="false"/>
          <w:color w:val="000000"/>
          <w:sz w:val="24"/>
        </w:rPr>
        <w:t>Re:    </w:t>
      </w:r>
      <w:r>
        <w:rPr>
          <w:rFonts w:ascii="Times New Roman;serif" w:hAnsi="Times New Roman;serif"/>
          <w:b w:val="false"/>
          <w:color w:val="000000"/>
          <w:sz w:val="24"/>
          <w:u w:val="single"/>
        </w:rPr>
        <w:t>Registration Statement on Form S-3; pre-funded warrants to purchase up to 525,897</w:t>
      </w:r>
      <w:r>
        <w:rPr>
          <w:color w:val="000000"/>
        </w:rPr>
        <w:t xml:space="preserve"> </w:t>
      </w:r>
      <w:r>
        <w:rPr>
          <w:rFonts w:ascii="Times New Roman;serif" w:hAnsi="Times New Roman;serif"/>
          <w:b w:val="false"/>
          <w:color w:val="000000"/>
          <w:sz w:val="24"/>
          <w:u w:val="single"/>
        </w:rPr>
        <w:t>ordinary shares with a par value of US$0.001 per share</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To the addressee set forth above: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We have acted as special counsel to Crescent Biopharma, Inc., a Cayman Islands exempted company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in connection with the proposed issuance of up to 9,387,896 ordinary shares (the “</w:t>
      </w:r>
      <w:r>
        <w:rPr>
          <w:rFonts w:ascii="Times New Roman;serif" w:hAnsi="Times New Roman;serif"/>
          <w:b/>
          <w:i/>
          <w:color w:val="000000"/>
          <w:sz w:val="24"/>
        </w:rPr>
        <w:t>Shares</w:t>
      </w:r>
      <w:r>
        <w:rPr>
          <w:color w:val="000000"/>
        </w:rPr>
        <w:t>”</w:t>
      </w:r>
      <w:r>
        <w:rPr>
          <w:rFonts w:ascii="Times New Roman;serif" w:hAnsi="Times New Roman;serif"/>
          <w:b w:val="false"/>
          <w:color w:val="000000"/>
          <w:sz w:val="24"/>
        </w:rPr>
        <w:t>) with a par value of US$0.001 per share of the Company (“</w:t>
      </w:r>
      <w:r>
        <w:rPr>
          <w:rFonts w:ascii="Times New Roman;serif" w:hAnsi="Times New Roman;serif"/>
          <w:b/>
          <w:i/>
          <w:color w:val="000000"/>
          <w:sz w:val="24"/>
        </w:rPr>
        <w:t>Ordinary Shares</w:t>
      </w:r>
      <w:r>
        <w:rPr>
          <w:color w:val="000000"/>
        </w:rPr>
        <w:t>”</w:t>
      </w:r>
      <w:r>
        <w:rPr>
          <w:rFonts w:ascii="Times New Roman;serif" w:hAnsi="Times New Roman;serif"/>
          <w:b w:val="false"/>
          <w:color w:val="000000"/>
          <w:sz w:val="24"/>
        </w:rPr>
        <w:t>), and pre-funded warrants to purchase up to 525,897 Ordinary Shares (the “</w:t>
      </w:r>
      <w:r>
        <w:rPr>
          <w:rFonts w:ascii="Times New Roman;serif" w:hAnsi="Times New Roman;serif"/>
          <w:b/>
          <w:i/>
          <w:color w:val="000000"/>
          <w:sz w:val="24"/>
        </w:rPr>
        <w:t>Warrants</w:t>
      </w:r>
      <w:r>
        <w:rPr>
          <w:color w:val="000000"/>
        </w:rPr>
        <w:t>”</w:t>
      </w:r>
      <w:r>
        <w:rPr>
          <w:rFonts w:ascii="Times New Roman;serif" w:hAnsi="Times New Roman;serif"/>
          <w:b w:val="false"/>
          <w:color w:val="000000"/>
          <w:sz w:val="24"/>
        </w:rPr>
        <w:t>). The Shares and the Warrants are included in a registration statement on Form S-3 under the Securities Act of 1933, as amended (the “</w:t>
      </w:r>
      <w:r>
        <w:rPr>
          <w:rFonts w:ascii="Times New Roman;serif" w:hAnsi="Times New Roman;serif"/>
          <w:b/>
          <w:i/>
          <w:color w:val="000000"/>
          <w:sz w:val="24"/>
        </w:rPr>
        <w:t>Act</w:t>
      </w:r>
      <w:r>
        <w:rPr>
          <w:color w:val="000000"/>
        </w:rPr>
        <w:t>”</w:t>
      </w:r>
      <w:r>
        <w:rPr>
          <w:rFonts w:ascii="Times New Roman;serif" w:hAnsi="Times New Roman;serif"/>
          <w:b w:val="false"/>
          <w:color w:val="000000"/>
          <w:sz w:val="24"/>
        </w:rPr>
        <w:t>), filed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on July 1, 2026 (Registration No. 333-297199) (as so filed and as amended,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and are being offered pursuant to a base prospectus dated July 10, 2026 (the “</w:t>
      </w:r>
      <w:r>
        <w:rPr>
          <w:rFonts w:ascii="Times New Roman;serif" w:hAnsi="Times New Roman;serif"/>
          <w:b/>
          <w:color w:val="000000"/>
          <w:sz w:val="24"/>
        </w:rPr>
        <w:t>Base Prospectus</w:t>
      </w:r>
      <w:r>
        <w:rPr>
          <w:color w:val="000000"/>
        </w:rPr>
        <w:t>”</w:t>
      </w:r>
      <w:r>
        <w:rPr>
          <w:rFonts w:ascii="Times New Roman;serif" w:hAnsi="Times New Roman;serif"/>
          <w:b w:val="false"/>
          <w:color w:val="000000"/>
          <w:sz w:val="24"/>
        </w:rPr>
        <w:t>), a prospectus supplement dated July 14, 2026 filed with the Commission pursuant to Rule 424(b) under the Act (together with the Base Prospectus, the “</w:t>
      </w:r>
      <w:r>
        <w:rPr>
          <w:rFonts w:ascii="Times New Roman;serif" w:hAnsi="Times New Roman;serif"/>
          <w:b/>
          <w:color w:val="000000"/>
          <w:sz w:val="24"/>
        </w:rPr>
        <w:t>Prospectus</w:t>
      </w:r>
      <w:r>
        <w:rPr>
          <w:color w:val="000000"/>
        </w:rPr>
        <w:t>”</w:t>
      </w:r>
      <w:r>
        <w:rPr>
          <w:rFonts w:ascii="Times New Roman;serif" w:hAnsi="Times New Roman;serif"/>
          <w:b w:val="false"/>
          <w:color w:val="000000"/>
          <w:sz w:val="24"/>
        </w:rPr>
        <w:t>), and an underwriting agreement dated July 14, 2026 by and between the Company and Jefferies LLC, as representatives of the several underwriters named in Schedule A thereto (the “</w:t>
      </w:r>
      <w:r>
        <w:rPr>
          <w:rFonts w:ascii="Times New Roman;serif" w:hAnsi="Times New Roman;serif"/>
          <w:b/>
          <w:color w:val="000000"/>
          <w:sz w:val="24"/>
        </w:rPr>
        <w:t>Underwriting Agreement</w:t>
      </w:r>
      <w:r>
        <w:rPr>
          <w:color w:val="000000"/>
        </w:rPr>
        <w:t>”</w:t>
      </w:r>
      <w:r>
        <w:rPr>
          <w:rFonts w:ascii="Times New Roman;serif" w:hAnsi="Times New Roman;serif"/>
          <w:b w:val="false"/>
          <w:color w:val="000000"/>
          <w:sz w:val="24"/>
        </w:rPr>
        <w:t xml:space="preserve">).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Warrants.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we express no opinion with respect to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89560"/>
                <wp:effectExtent l="0" t="0" r="0" b="0"/>
                <wp:wrapNone/>
                <wp:docPr id="76" name="Frame7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20"/>
                        <w:jc w:val="left"/>
                        <w:rPr/>
                      </w:pPr>
                      <w:r>
                        <w:rPr/>
                      </w:r>
                    </w:p>
                  </w:txbxContent>
                </v:textbox>
                <w10:wrap type="none"/>
              </v:rect>
            </w:pict>
          </mc:Fallback>
        </mc:AlternateContent>
      </w:r>
    </w:p>
    <w:tbl>
      <w:tblPr>
        <w:tblW w:w="1019" w:type="dxa"/>
        <w:jc w:val="left"/>
        <w:tblInd w:w="0" w:type="dxa"/>
        <w:tblLayout w:type="fixed"/>
        <w:tblCellMar>
          <w:top w:w="28" w:type="dxa"/>
          <w:left w:w="28" w:type="dxa"/>
          <w:bottom w:w="28" w:type="dxa"/>
          <w:right w:w="28" w:type="dxa"/>
        </w:tblCellMar>
      </w:tblPr>
      <w:tblGrid>
        <w:gridCol w:w="326"/>
        <w:gridCol w:w="286"/>
        <w:gridCol w:w="407"/>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July 15, 2026</w:t>
            </w:r>
          </w:p>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Page 2</w:t>
            </w:r>
          </w:p>
        </w:tc>
      </w:tr>
    </w:tbl>
    <w:p>
      <w:pPr>
        <w:pStyle w:val="TextBody"/>
        <w:bidi w:val="0"/>
        <w:spacing w:before="113" w:after="360"/>
        <w:jc w:val="left"/>
        <w:rPr/>
      </w:pPr>
      <w:r>
        <w:rPr/>
        <w:drawing>
          <wp:inline distT="0" distB="0" distL="0" distR="0">
            <wp:extent cx="1543050" cy="104775"/>
            <wp:effectExtent l="0" t="0" r="0" b="0"/>
            <wp:docPr id="7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 descr=""/>
                    <pic:cNvPicPr>
                      <a:picLocks noChangeAspect="1" noChangeArrowheads="1"/>
                    </pic:cNvPicPr>
                  </pic:nvPicPr>
                  <pic:blipFill>
                    <a:blip r:embed="rId4"/>
                    <a:stretch>
                      <a:fillRect/>
                    </a:stretch>
                  </pic:blipFill>
                  <pic:spPr bwMode="auto">
                    <a:xfrm>
                      <a:off x="0" y="0"/>
                      <a:ext cx="1543050" cy="104775"/>
                    </a:xfrm>
                    <a:prstGeom prst="rect">
                      <a:avLst/>
                    </a:prstGeom>
                  </pic:spPr>
                </pic:pic>
              </a:graphicData>
            </a:graphic>
          </wp:inline>
        </w:drawing>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applicability to the opinions expressed herein, or the effect thereon, of the laws of any other jurisdiction, or as to any matters of municipal law or the laws of any local agencies within any state. Various matters concerning the laws of the Cayman Islands are addressed in the opinion of Walkers (Cayman) LLP, which has been separately provided to you. We express no opinion with respect to those matters herein and, to the extent such matters are necessary to the conclusions expressed herein, we have, with your consent, assumed such matters.</w:t>
      </w:r>
    </w:p>
    <w:p>
      <w:pPr>
        <w:pStyle w:val="TextBody"/>
        <w:bidi w:val="0"/>
        <w:spacing w:lineRule="auto" w:line="288" w:before="240" w:after="283"/>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Subject to the foregoing and the other matters set forth herein, it is our opinion that, as of the date hereof, when the Warrants have been executed and issued by the Company against payment therefor in the circumstances contemplated by the Underwriting Agreement, the Warrants will be the legally valid and binding obligations of the Company, enforceable against the Company in accordance with their terms.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your consent, except to the extent we have expressly opined as to such matters with respect to the Company herein, we have assumed (a) that the Warrants have been duly authorized, executed and delivered by the parties thereto, (b) that the Warrants constitute legally valid and binding obligations of the parties thereto, enforceable against each of them in accordance with their respective terms, and (c) that the status of the Warrants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Our opinions are subject to: (i) the effect of bankruptcy, insolvency, reorganization, preference, fraudulent transfer, moratorium or other similar laws relating to or affecting the rights and remedies of creditors and the judicial application of foreign laws or governmental actions affecting creditors’ rights;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consents to, or restrictions upon, governing law, jurisdiction, venue, service of process, arbitration, remedies, or judicial relief, (b) advance waivers of claims, defenses, rights granted by law, or notice, opportunity for hearing, evidentiary requirements, statutes of limitation, trial by jury or at law, or other procedural rights, (c) waivers of broadly or vaguely stated rights, (d) covenants not to compete, (e) provisions for exclusivity, election or cumulation of rights or remedies, (f) provisions authorizing or validating conclusive or discretionary determinations, (g) grants of setoff rights, (h) any provision requiring the payment of attorneys’ fees where such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0520"/>
                <wp:effectExtent l="0" t="0" r="0" b="0"/>
                <wp:wrapNone/>
                <wp:docPr id="78" name="Frame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19" w:type="dxa"/>
        <w:jc w:val="left"/>
        <w:tblInd w:w="0" w:type="dxa"/>
        <w:tblLayout w:type="fixed"/>
        <w:tblCellMar>
          <w:top w:w="28" w:type="dxa"/>
          <w:left w:w="28" w:type="dxa"/>
          <w:bottom w:w="28" w:type="dxa"/>
          <w:right w:w="28" w:type="dxa"/>
        </w:tblCellMar>
      </w:tblPr>
      <w:tblGrid>
        <w:gridCol w:w="326"/>
        <w:gridCol w:w="286"/>
        <w:gridCol w:w="407"/>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July 15, 2026</w:t>
            </w:r>
          </w:p>
          <w:p>
            <w:pPr>
              <w:pStyle w:val="TableContents"/>
              <w:bidi w:val="0"/>
              <w:spacing w:lineRule="atLeast" w:line="160" w:before="0" w:after="0"/>
              <w:jc w:val="left"/>
              <w:rPr>
                <w:rFonts w:ascii="Arial;sans-serif" w:hAnsi="Arial;sans-serif"/>
                <w:b/>
                <w:color w:val="000000"/>
                <w:sz w:val="14"/>
              </w:rPr>
            </w:pPr>
            <w:r>
              <w:rPr>
                <w:rFonts w:ascii="Arial;sans-serif" w:hAnsi="Arial;sans-serif"/>
                <w:b/>
                <w:color w:val="000000"/>
                <w:sz w:val="14"/>
              </w:rPr>
              <w:t>Page 3</w:t>
            </w:r>
          </w:p>
        </w:tc>
      </w:tr>
    </w:tbl>
    <w:p>
      <w:pPr>
        <w:pStyle w:val="TextBody"/>
        <w:bidi w:val="0"/>
        <w:spacing w:before="113" w:after="360"/>
        <w:jc w:val="left"/>
        <w:rPr/>
      </w:pPr>
      <w:r>
        <w:rPr/>
        <w:drawing>
          <wp:inline distT="0" distB="0" distL="0" distR="0">
            <wp:extent cx="1543050" cy="104775"/>
            <wp:effectExtent l="0" t="0" r="0" b="0"/>
            <wp:docPr id="7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 descr=""/>
                    <pic:cNvPicPr>
                      <a:picLocks noChangeAspect="1" noChangeArrowheads="1"/>
                    </pic:cNvPicPr>
                  </pic:nvPicPr>
                  <pic:blipFill>
                    <a:blip r:embed="rId5"/>
                    <a:stretch>
                      <a:fillRect/>
                    </a:stretch>
                  </pic:blipFill>
                  <pic:spPr bwMode="auto">
                    <a:xfrm>
                      <a:off x="0" y="0"/>
                      <a:ext cx="1543050" cy="104775"/>
                    </a:xfrm>
                    <a:prstGeom prst="rect">
                      <a:avLst/>
                    </a:prstGeom>
                  </pic:spPr>
                </pic:pic>
              </a:graphicData>
            </a:graphic>
          </wp:inline>
        </w:drawing>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payment is contrary to law or public policy, (i) provisions to the effect that a guarantor is liable as a primary obligor, and not as a surety and provisions purporting to waive modifications of any guaranty obligation to the extent such modification constitutes a novation, (j) proxies, powers and trusts, (k) provisions prohibiting, restricting, or requiring consent to assignment or transfer of any agreement, right or property, (l) provisions for liquidated damages, default interest, late charges, monetary penalties, make-whole premiums or other economic remedies to the extent such provisions are deemed to constitute a penalty, and (m) the severability, if invalid, of provisions to the foregoing effect.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July 15,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pStyle w:val="TextBody"/>
        <w:bidi w:val="0"/>
        <w:spacing w:lineRule="auto" w:line="288" w:before="36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Sincerely, </w:t>
      </w:r>
    </w:p>
    <w:p>
      <w:pPr>
        <w:pStyle w:val="TextBody"/>
        <w:bidi w:val="0"/>
        <w:spacing w:lineRule="auto" w:line="288" w:before="360" w:after="283"/>
        <w:jc w:val="both"/>
        <w:rPr>
          <w:rFonts w:ascii="Times New Roman;serif" w:hAnsi="Times New Roman;serif"/>
          <w:b w:val="false"/>
          <w:color w:val="000000"/>
          <w:sz w:val="24"/>
        </w:rPr>
      </w:pPr>
      <w:r>
        <w:rPr>
          <w:rFonts w:ascii="Times New Roman;serif" w:hAnsi="Times New Roman;serif"/>
          <w:b w:val="false"/>
          <w:color w:val="000000"/>
          <w:sz w:val="24"/>
        </w:rPr>
        <w:t>/s/ Latham &amp; Watkins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0" name="Frame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581150" cy="571500"/>
            <wp:effectExtent l="0" t="0" r="0" b="0"/>
            <wp:docPr id="8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 descr=""/>
                    <pic:cNvPicPr>
                      <a:picLocks noChangeAspect="1" noChangeArrowheads="1"/>
                    </pic:cNvPicPr>
                  </pic:nvPicPr>
                  <pic:blipFill>
                    <a:blip r:embed="rId6"/>
                    <a:stretch>
                      <a:fillRect/>
                    </a:stretch>
                  </pic:blipFill>
                  <pic:spPr bwMode="auto">
                    <a:xfrm>
                      <a:off x="0" y="0"/>
                      <a:ext cx="1581150" cy="571500"/>
                    </a:xfrm>
                    <a:prstGeom prst="rect">
                      <a:avLst/>
                    </a:prstGeom>
                  </pic:spPr>
                </pic:pic>
              </a:graphicData>
            </a:graphic>
          </wp:inline>
        </w:drawing>
      </w:r>
    </w:p>
    <w:p>
      <w:pPr>
        <w:pStyle w:val="TextBody"/>
        <w:bidi w:val="0"/>
        <w:spacing w:before="0" w:after="160"/>
        <w:jc w:val="center"/>
        <w:rPr/>
      </w:pPr>
      <w:r>
        <w:rPr/>
      </w:r>
    </w:p>
    <w:p>
      <w:pPr>
        <w:pStyle w:val="TextBody"/>
        <w:bidi w:val="0"/>
        <w:spacing w:before="0" w:after="160"/>
        <w:jc w:val="left"/>
        <w:rPr/>
      </w:pPr>
      <w:r>
        <w:rPr/>
      </w:r>
    </w:p>
    <w:p>
      <w:pPr>
        <w:pStyle w:val="TextBody"/>
        <w:bidi w:val="0"/>
        <w:spacing w:lineRule="auto" w:line="300" w:before="0" w:after="160"/>
        <w:jc w:val="center"/>
        <w:rPr>
          <w:rFonts w:ascii="Arial;sans-serif" w:hAnsi="Arial;sans-serif"/>
          <w:b/>
          <w:color w:val="000000"/>
          <w:sz w:val="21"/>
        </w:rPr>
      </w:pPr>
      <w:r>
        <w:rPr>
          <w:rFonts w:ascii="Arial;sans-serif" w:hAnsi="Arial;sans-serif"/>
          <w:b/>
          <w:color w:val="000000"/>
          <w:sz w:val="21"/>
        </w:rPr>
        <w:t>Crescent Biopharma Announces Proposed Public Offering of Ordinary Shares and Pre-Funded Warrants</w:t>
      </w:r>
    </w:p>
    <w:p>
      <w:pPr>
        <w:pStyle w:val="TextBody"/>
        <w:bidi w:val="0"/>
        <w:spacing w:lineRule="auto" w:line="300" w:before="0" w:after="160"/>
        <w:jc w:val="left"/>
        <w:rPr/>
      </w:pPr>
      <w:r>
        <w:rPr>
          <w:rFonts w:ascii="Arial;sans-serif" w:hAnsi="Arial;sans-serif"/>
          <w:b/>
          <w:color w:val="000000"/>
          <w:sz w:val="21"/>
        </w:rPr>
        <w:t>Waltham, Mass., July 14, 2026</w:t>
      </w:r>
      <w:r>
        <w:rPr>
          <w:color w:val="000000"/>
        </w:rPr>
        <w:t xml:space="preserve"> — </w:t>
      </w:r>
      <w:r>
        <w:rPr>
          <w:rFonts w:ascii="Arial;sans-serif" w:hAnsi="Arial;sans-serif"/>
          <w:b w:val="false"/>
          <w:color w:val="000000"/>
          <w:sz w:val="21"/>
        </w:rPr>
        <w:t xml:space="preserve">Crescent Biopharma, Inc. (“Crescent” or the “Company”) (Nasdaq: CBIO), a clinical-stage biotechnology company dedicated to rapidly advancing the next wave of therapies for cancer patients, today announced that it has commenced an underwritten public offering of its ordinary shares or, in lieu of ordinary shares to investors that so choose, pre-funded warrants to purchase its ordinary shares. In addition, Crescent intends to grant the underwriters a 30-day option to purchase up to an additional 15% of the ordinary shares at the public offering price, less underwriting discounts and commissions. All of the ordinary shares and pre-funded warrants to be sold in the proposed offering are being offered by Crescent. The proposed offering is subject to market and other conditions, and there can be no assurance as to whether or when the proposed offering may be completed, or as to the actual size or terms of the proposed offering. </w:t>
      </w:r>
    </w:p>
    <w:p>
      <w:pPr>
        <w:pStyle w:val="TextBody"/>
        <w:bidi w:val="0"/>
        <w:spacing w:lineRule="auto" w:line="300" w:before="0" w:after="160"/>
        <w:jc w:val="left"/>
        <w:rPr>
          <w:rFonts w:ascii="Arial;sans-serif" w:hAnsi="Arial;sans-serif"/>
          <w:b w:val="false"/>
          <w:color w:val="000000"/>
          <w:sz w:val="21"/>
        </w:rPr>
      </w:pPr>
      <w:r>
        <w:rPr>
          <w:rFonts w:ascii="Arial;sans-serif" w:hAnsi="Arial;sans-serif"/>
          <w:b w:val="false"/>
          <w:color w:val="000000"/>
          <w:sz w:val="21"/>
        </w:rPr>
        <w:t>Jefferies, TD Cowen, Guggenheim Securities and Cantor are acting as joint book-running managers for the proposed offering. LifeSci Capital is acting as passive book-running manager for the proposed offering.</w:t>
      </w:r>
    </w:p>
    <w:p>
      <w:pPr>
        <w:pStyle w:val="TextBody"/>
        <w:bidi w:val="0"/>
        <w:spacing w:lineRule="auto" w:line="300" w:before="0" w:after="160"/>
        <w:jc w:val="left"/>
        <w:rPr>
          <w:rFonts w:ascii="Arial;sans-serif" w:hAnsi="Arial;sans-serif"/>
          <w:b w:val="false"/>
          <w:color w:val="000000"/>
          <w:sz w:val="21"/>
        </w:rPr>
      </w:pPr>
      <w:r>
        <w:rPr>
          <w:rFonts w:ascii="Arial;sans-serif" w:hAnsi="Arial;sans-serif"/>
          <w:b w:val="false"/>
          <w:color w:val="000000"/>
          <w:sz w:val="21"/>
        </w:rPr>
        <w:t>The securities described above are being offered by Crescent pursuant to a shelf registration statement on Form S-3, including a base prospectus, that was previously filed with the Securities and Exchange Commission (“SEC”) and was declared effective on July 10, 2026. A preliminary prospectus supplement and accompanying prospectus relating to this offering will be filed with the SEC. Copies of the preliminary prospectus supplement and accompanying prospectus can be accessed through the SEC’s website at www.sec.gov. Copies of the prospectus supplement relating to the proposed offering may be obtained, when available, by contacting Jefferies LLC, Attention: Equity Syndicate Prospectus Department, 520 Madison Avenue, New York, NY 10022, by telephone at (877) 821-7388, or by email at Prospectus_Department@Jefferies.com; TD Securities (USA) LLC, c/o Broadridge Financial Solutions, 1155 Long Island Avenue, Edgewood, NY 11717, or by email at TDManualrequest@broadridge.com; Guggenheim Securities, LLC, Attention: Equity Syndicate Department, 330 Madison Avenue, 8th Floor, New York, NY 10017, by telephone at (212) 518-9544, or by email at GSEquityProspectusDelivery@guggenheimpartners.com; Cantor Fitzgerald &amp; Co., Attention: Capital Markets, 110 East 59th Street, 6th Floor, New York, NY 10022, or by email at prospectus@cantor.com; and LifeSci Capital LLC, Attention: LifeSci Capital LLC, 1700 Broadway, 40th Floor, New York, NY 10019, or by email at legalnotices@lifescicapital.com.</w:t>
      </w:r>
    </w:p>
    <w:p>
      <w:pPr>
        <w:pStyle w:val="TextBody"/>
        <w:bidi w:val="0"/>
        <w:spacing w:lineRule="auto" w:line="300" w:before="0" w:after="160"/>
        <w:jc w:val="left"/>
        <w:rPr>
          <w:rFonts w:ascii="Arial;sans-serif" w:hAnsi="Arial;sans-serif"/>
          <w:b w:val="false"/>
          <w:color w:val="000000"/>
          <w:sz w:val="21"/>
        </w:rPr>
      </w:pPr>
      <w:r>
        <w:rPr>
          <w:rFonts w:ascii="Arial;sans-serif" w:hAnsi="Arial;sans-serif"/>
          <w:b w:val="false"/>
          <w:color w:val="000000"/>
          <w:sz w:val="21"/>
        </w:rPr>
        <w:t>This press release shall not constitute an offer to sell or the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lineRule="auto" w:line="300" w:before="0" w:after="160"/>
        <w:jc w:val="left"/>
        <w:rPr>
          <w:rFonts w:ascii="Arial;sans-serif" w:hAnsi="Arial;sans-serif"/>
          <w:b/>
          <w:color w:val="000000"/>
          <w:sz w:val="21"/>
        </w:rPr>
      </w:pPr>
      <w:r>
        <w:rPr>
          <w:rFonts w:ascii="Arial;sans-serif" w:hAnsi="Arial;sans-serif"/>
          <w:b/>
          <w:color w:val="000000"/>
          <w:sz w:val="21"/>
        </w:rPr>
        <w:t>About Crescent Biopharma</w:t>
      </w:r>
    </w:p>
    <w:p>
      <w:pPr>
        <w:pStyle w:val="TextBody"/>
        <w:bidi w:val="0"/>
        <w:spacing w:lineRule="auto" w:line="300" w:before="0" w:after="160"/>
        <w:jc w:val="left"/>
        <w:rPr>
          <w:rFonts w:ascii="Arial;sans-serif" w:hAnsi="Arial;sans-serif"/>
          <w:b w:val="false"/>
          <w:color w:val="000000"/>
          <w:sz w:val="21"/>
        </w:rPr>
      </w:pPr>
      <w:r>
        <w:rPr>
          <w:rFonts w:ascii="Arial;sans-serif" w:hAnsi="Arial;sans-serif"/>
          <w:b w:val="false"/>
          <w:color w:val="000000"/>
          <w:sz w:val="21"/>
        </w:rPr>
        <w:t>Crescent Biopharma’s vision is to build a world leading oncology company bringing the next wave of therapies for cancer patients. The Company’s clinical-stage pipeline includes its lead program, a PD-1 x VEGF bispecific antibody, as well as novel antibody-drug conjugates (ADCs). By leveraging multiple modalities and established targets, Crescent aims to rapidly advance potentially transformative therapies as single agents and as part of combination regimens to treat a range of solid tumors.</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300" w:before="0" w:after="160"/>
        <w:jc w:val="left"/>
        <w:rPr>
          <w:rFonts w:ascii="Arial;sans-serif" w:hAnsi="Arial;sans-serif"/>
          <w:b/>
          <w:color w:val="000000"/>
          <w:sz w:val="21"/>
        </w:rPr>
      </w:pPr>
      <w:r>
        <w:rPr>
          <w:rFonts w:ascii="Arial;sans-serif" w:hAnsi="Arial;sans-serif"/>
          <w:b/>
          <w:color w:val="000000"/>
          <w:sz w:val="21"/>
        </w:rPr>
        <w:t>Forward-Looking Statements</w:t>
      </w:r>
    </w:p>
    <w:p>
      <w:pPr>
        <w:pStyle w:val="TextBody"/>
        <w:bidi w:val="0"/>
        <w:spacing w:lineRule="auto" w:line="300" w:before="0" w:after="160"/>
        <w:jc w:val="left"/>
        <w:rPr>
          <w:rFonts w:ascii="Arial;sans-serif" w:hAnsi="Arial;sans-serif"/>
          <w:b w:val="false"/>
          <w:color w:val="000000"/>
          <w:sz w:val="21"/>
        </w:rPr>
      </w:pPr>
      <w:r>
        <w:rPr>
          <w:rFonts w:ascii="Arial;sans-serif" w:hAnsi="Arial;sans-serif"/>
          <w:b w:val="false"/>
          <w:color w:val="000000"/>
          <w:sz w:val="21"/>
        </w:rPr>
        <w:t>Crescent cautions you that statements contained in this press release regarding matters that are not historical facts are forward-looking statements. The forward-looking statements are based on our current beliefs and expectations and include, but are not limited to: our expectations regarding the completion, timing and size of the proposed offering, and the grant of the option to purchase additional ordinary shares. Actual results may differ from those set forth in this press release due to the risks and uncertainties associated with market conditions and the satisfaction of customary closing conditions related to the proposed offering, as well as risks and uncertainties inherent in our business described in our prior filings with the SEC, including under the heading “Risk Factors” in our annual report on Form 10-K for the year ended December 31, 2025, our quarterly report on Form 10-Q for the quarter ended March 31, 2026, and any subsequent current reports on Form 8-K or other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pStyle w:val="TextBody"/>
        <w:bidi w:val="0"/>
        <w:spacing w:lineRule="auto" w:line="300" w:before="0" w:after="160"/>
        <w:jc w:val="left"/>
        <w:rPr>
          <w:rFonts w:ascii="Arial;sans-serif" w:hAnsi="Arial;sans-serif"/>
          <w:b/>
          <w:color w:val="000000"/>
          <w:sz w:val="21"/>
        </w:rPr>
      </w:pPr>
      <w:r>
        <w:rPr>
          <w:rFonts w:ascii="Arial;sans-serif" w:hAnsi="Arial;sans-serif"/>
          <w:b/>
          <w:color w:val="000000"/>
          <w:sz w:val="21"/>
        </w:rPr>
        <w:t>Contacts</w:t>
      </w:r>
    </w:p>
    <w:p>
      <w:pPr>
        <w:pStyle w:val="TextBody"/>
        <w:bidi w:val="0"/>
        <w:spacing w:lineRule="auto" w:line="300" w:before="0" w:after="160"/>
        <w:jc w:val="left"/>
        <w:rPr>
          <w:rFonts w:ascii="Arial;sans-serif" w:hAnsi="Arial;sans-serif"/>
          <w:b/>
          <w:color w:val="000000"/>
          <w:sz w:val="21"/>
        </w:rPr>
      </w:pPr>
      <w:r>
        <w:rPr>
          <w:rFonts w:ascii="Arial;sans-serif" w:hAnsi="Arial;sans-serif"/>
          <w:b/>
          <w:color w:val="000000"/>
          <w:sz w:val="21"/>
        </w:rPr>
        <w:t>Investors</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Amy Reilly</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Chief Communications Officer</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amy.reilly@crescentbiopharma.com</w:t>
      </w:r>
    </w:p>
    <w:p>
      <w:pPr>
        <w:pStyle w:val="TextBody"/>
        <w:bidi w:val="0"/>
        <w:spacing w:lineRule="auto" w:line="300" w:before="0" w:after="160"/>
        <w:jc w:val="left"/>
        <w:rPr>
          <w:rFonts w:ascii="Arial;sans-serif" w:hAnsi="Arial;sans-serif"/>
          <w:b w:val="false"/>
          <w:color w:val="000000"/>
          <w:sz w:val="21"/>
        </w:rPr>
      </w:pPr>
      <w:r>
        <w:rPr>
          <w:rFonts w:ascii="Arial;sans-serif" w:hAnsi="Arial;sans-serif"/>
          <w:b w:val="false"/>
          <w:color w:val="000000"/>
          <w:sz w:val="21"/>
        </w:rPr>
        <w:t>617-465-0586</w:t>
      </w:r>
    </w:p>
    <w:p>
      <w:pPr>
        <w:pStyle w:val="TextBody"/>
        <w:bidi w:val="0"/>
        <w:spacing w:lineRule="auto" w:line="300" w:before="0" w:after="160"/>
        <w:jc w:val="left"/>
        <w:rPr>
          <w:rFonts w:ascii="Arial;sans-serif" w:hAnsi="Arial;sans-serif"/>
          <w:b/>
          <w:color w:val="000000"/>
          <w:sz w:val="21"/>
        </w:rPr>
      </w:pPr>
      <w:r>
        <w:rPr>
          <w:rFonts w:ascii="Arial;sans-serif" w:hAnsi="Arial;sans-serif"/>
          <w:b/>
          <w:color w:val="000000"/>
          <w:sz w:val="21"/>
        </w:rPr>
        <w:t>Media</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Jenna Poist</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Director, Corporate Communications</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jenna.poist@crescentbiopharma.com</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781-671-5019</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99.2</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581150" cy="571500"/>
            <wp:effectExtent l="0" t="0" r="0" b="0"/>
            <wp:docPr id="8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 descr=""/>
                    <pic:cNvPicPr>
                      <a:picLocks noChangeAspect="1" noChangeArrowheads="1"/>
                    </pic:cNvPicPr>
                  </pic:nvPicPr>
                  <pic:blipFill>
                    <a:blip r:embed="rId7"/>
                    <a:stretch>
                      <a:fillRect/>
                    </a:stretch>
                  </pic:blipFill>
                  <pic:spPr bwMode="auto">
                    <a:xfrm>
                      <a:off x="0" y="0"/>
                      <a:ext cx="1581150" cy="5715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Crescent Biopharma Announces Pricing of Public Offering of Ordinary Shares and Pre-Funded Warrants</w:t>
      </w:r>
    </w:p>
    <w:p>
      <w:pPr>
        <w:pStyle w:val="TextBody"/>
        <w:bidi w:val="0"/>
        <w:spacing w:before="0" w:after="0"/>
        <w:jc w:val="left"/>
        <w:rPr/>
      </w:pPr>
      <w:r>
        <w:rPr/>
      </w:r>
    </w:p>
    <w:p>
      <w:pPr>
        <w:pStyle w:val="TextBody"/>
        <w:bidi w:val="0"/>
        <w:spacing w:lineRule="auto" w:line="288" w:before="0" w:after="160"/>
        <w:jc w:val="left"/>
        <w:rPr/>
      </w:pPr>
      <w:r>
        <w:rPr>
          <w:rFonts w:ascii="Arial;sans-serif" w:hAnsi="Arial;sans-serif"/>
          <w:b/>
          <w:color w:val="000000"/>
          <w:sz w:val="21"/>
        </w:rPr>
        <w:t>Waltham, Mass., July 14, 2026</w:t>
      </w:r>
      <w:r>
        <w:rPr>
          <w:color w:val="000000"/>
        </w:rPr>
        <w:t xml:space="preserve"> — </w:t>
      </w:r>
      <w:r>
        <w:rPr>
          <w:rFonts w:ascii="Arial;sans-serif" w:hAnsi="Arial;sans-serif"/>
          <w:b w:val="false"/>
          <w:color w:val="000000"/>
          <w:sz w:val="21"/>
        </w:rPr>
        <w:t xml:space="preserve">Crescent Biopharma, Inc. (“Crescent” or the “Company”) (Nasdaq: CBIO), a clinical-stage biotechnology company dedicated to rapidly advancing the next wave of therapies for cancer patients, today announced the pricing of its underwritten public offering of 8,094,793 ordinary shares and in lieu of ordinary shares to certain investors, pre-funded warrants to purchase up to 525,897 ordinary shares. The ordinary shares are being sold to the public at a price of $14.50 per share and the pre-funded warrants are being sold at a price to the public of $14.499 per pre-funded warrant, which represents the per ordinary share price less the $0.001 per share exercise price for each such pre-funded warrant. The gross proceeds to Crescent from the offering, before deducting the underwriting discounts and commissions and other offering expenses payable by Crescent, are expected to be approximately $125.0 million. In addition, Crescent has granted the underwriters a 30-day option to purchase up to an additional 1,293,103 ordinary shares at the offering price, less underwriting discounts and commissions. All of the ordinary shares and the pre-funded warrants to be sold in the public offering are to be sold by Crescent. The offering is expected to close on July 16, 2026, subject to the satisfaction of customary closing conditions. </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Jefferies, TD Cowen, Guggenheim Securities and Cantor are acting as joint book-running managers for the offering. LifeSci Capital is acting as passive book-running manager for the offering.</w:t>
      </w:r>
    </w:p>
    <w:p>
      <w:pPr>
        <w:pStyle w:val="TextBody"/>
        <w:bidi w:val="0"/>
        <w:spacing w:before="0" w:after="0"/>
        <w:jc w:val="left"/>
        <w:rPr/>
      </w:pPr>
      <w:r>
        <w:rPr/>
      </w:r>
    </w:p>
    <w:p>
      <w:pPr>
        <w:pStyle w:val="TextBody"/>
        <w:bidi w:val="0"/>
        <w:spacing w:lineRule="auto" w:line="288" w:before="0" w:after="160"/>
        <w:jc w:val="left"/>
        <w:rPr>
          <w:rFonts w:ascii="Arial;sans-serif" w:hAnsi="Arial;sans-serif"/>
          <w:b w:val="false"/>
          <w:color w:val="000000"/>
          <w:sz w:val="21"/>
        </w:rPr>
      </w:pPr>
      <w:r>
        <w:rPr>
          <w:rFonts w:ascii="Arial;sans-serif" w:hAnsi="Arial;sans-serif"/>
          <w:b w:val="false"/>
          <w:color w:val="000000"/>
          <w:sz w:val="21"/>
        </w:rPr>
        <w:t>The securities described above are being offered by Crescent pursuant to a shelf registration statement on Form S-3, including a base prospectus, that was previously filed with the Securities and Exchange Commission (“SEC”) and was declared effective on July 10, 2026. A preliminary prospectus supplement and accompanying prospectus relating to this offering has been filed with the SEC and a final prospectus supplement and accompanying prospectus relating to this offering will be filed with the SEC. Copies of the final prospectus supplement and accompanying prospectus once filed will be accessible through the SEC’s website at www.sec.gov. The offering is being made only by means of a prospectus supplement and accompanying prospectus. Copies of the final prospectus supplement and accompanying prospectus relating to the offering may be obtained, when available, by contacting Jefferies LLC, Attention: Equity Syndicate Prospectus Department, 520 Madison Avenue, New York, NY 10022, by telephone at (877) 821-7388, or by email at Prospectus_Department@Jefferies.com; TD Securities (USA) LLC, c/o Broadridge Financial Solutions, 1155 Long Island Avenue, Edgewood, NY 11717, or by email at TDManualrequest@broadridge.com; Guggenheim Securities, LLC, Attention: Equity Syndicate Department, 330 Madison Avenue, 8th Floor, New York, NY 10017, by telephone at (212) 518-9544, or by email at GSEquityProspectusDelivery@guggenheimpartners.com; Cantor Fitzgerald &amp; Co., Attention: Capital Markets, 110 East 59th Street, 6th Floor, New York, NY 10022, or by email at prospectus@cantor.com; and LifeSci Capital LLC, Attention: LifeSci Capital LLC, 1700 Broadway, 40th Floor, New York, NY 10019, or by email at legalnotices@lifescicapital.com.</w:t>
      </w:r>
    </w:p>
    <w:p>
      <w:pPr>
        <w:pStyle w:val="TextBody"/>
        <w:bidi w:val="0"/>
        <w:spacing w:lineRule="auto" w:line="288" w:before="0" w:after="160"/>
        <w:jc w:val="left"/>
        <w:rPr>
          <w:rFonts w:ascii="Arial;sans-serif" w:hAnsi="Arial;sans-serif"/>
          <w:b w:val="false"/>
          <w:color w:val="000000"/>
          <w:sz w:val="21"/>
        </w:rPr>
      </w:pPr>
      <w:r>
        <w:rPr>
          <w:rFonts w:ascii="Arial;sans-serif" w:hAnsi="Arial;sans-serif"/>
          <w:b w:val="false"/>
          <w:color w:val="000000"/>
          <w:sz w:val="21"/>
        </w:rPr>
        <w:t>This press release shall not constitute an offer to sell or the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lineRule="auto" w:line="288" w:before="0" w:after="160"/>
        <w:jc w:val="left"/>
        <w:rPr>
          <w:rFonts w:ascii="Arial;sans-serif" w:hAnsi="Arial;sans-serif"/>
          <w:b/>
          <w:color w:val="000000"/>
          <w:sz w:val="21"/>
        </w:rPr>
      </w:pPr>
      <w:r>
        <w:rPr>
          <w:rFonts w:ascii="Arial;sans-serif" w:hAnsi="Arial;sans-serif"/>
          <w:b/>
          <w:color w:val="000000"/>
          <w:sz w:val="21"/>
        </w:rPr>
        <w:t>About Crescent Biopharma</w:t>
      </w:r>
    </w:p>
    <w:p>
      <w:pPr>
        <w:pStyle w:val="TextBody"/>
        <w:bidi w:val="0"/>
        <w:spacing w:lineRule="auto" w:line="288" w:before="0" w:after="160"/>
        <w:jc w:val="left"/>
        <w:rPr>
          <w:rFonts w:ascii="Arial;sans-serif" w:hAnsi="Arial;sans-serif"/>
          <w:b w:val="false"/>
          <w:color w:val="000000"/>
          <w:sz w:val="21"/>
        </w:rPr>
      </w:pPr>
      <w:r>
        <w:rPr>
          <w:rFonts w:ascii="Arial;sans-serif" w:hAnsi="Arial;sans-serif"/>
          <w:b w:val="false"/>
          <w:color w:val="000000"/>
          <w:sz w:val="21"/>
        </w:rPr>
        <w:t xml:space="preserve">Crescent Biopharma’s vision is to build a world leading oncology company bringing the next wave of therapies for cancer patients. The Company’s clinical-stage pipeline includes its lead program, a PD-1 x VEGF bispecific antibody, as well as novel antibody-drug conjugates (ADCs). By leveraging multiple modalities and established targets, Crescent aims to rapidly advance potentially </w:t>
      </w:r>
    </w:p>
    <w:p>
      <w:pPr>
        <w:pStyle w:val="TextBody"/>
        <w:bidi w:val="0"/>
        <w:spacing w:before="0" w:after="0"/>
        <w:jc w:val="center"/>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5" name="Frame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1"/>
        </w:rPr>
      </w:pPr>
      <w:r>
        <w:rPr>
          <w:rFonts w:ascii="Arial;sans-serif" w:hAnsi="Arial;sans-serif"/>
          <w:b w:val="false"/>
          <w:color w:val="000000"/>
          <w:sz w:val="21"/>
        </w:rPr>
        <w:t>transformative therapies as single agents and as part of combination regimens to treat a range of solid tumors.</w:t>
      </w:r>
    </w:p>
    <w:p>
      <w:pPr>
        <w:pStyle w:val="TextBody"/>
        <w:bidi w:val="0"/>
        <w:spacing w:lineRule="auto" w:line="288" w:before="0" w:after="160"/>
        <w:jc w:val="left"/>
        <w:rPr>
          <w:rFonts w:ascii="Arial;sans-serif" w:hAnsi="Arial;sans-serif"/>
          <w:b/>
          <w:color w:val="000000"/>
          <w:sz w:val="21"/>
        </w:rPr>
      </w:pPr>
      <w:r>
        <w:rPr>
          <w:rFonts w:ascii="Arial;sans-serif" w:hAnsi="Arial;sans-serif"/>
          <w:b/>
          <w:color w:val="000000"/>
          <w:sz w:val="21"/>
        </w:rPr>
        <w:t>Forward-Looking Statements</w:t>
      </w:r>
    </w:p>
    <w:p>
      <w:pPr>
        <w:pStyle w:val="TextBody"/>
        <w:bidi w:val="0"/>
        <w:spacing w:lineRule="auto" w:line="288" w:before="0" w:after="160"/>
        <w:jc w:val="left"/>
        <w:rPr>
          <w:rFonts w:ascii="Arial;sans-serif" w:hAnsi="Arial;sans-serif"/>
          <w:b w:val="false"/>
          <w:color w:val="000000"/>
          <w:sz w:val="21"/>
        </w:rPr>
      </w:pPr>
      <w:r>
        <w:rPr>
          <w:rFonts w:ascii="Arial;sans-serif" w:hAnsi="Arial;sans-serif"/>
          <w:b w:val="false"/>
          <w:color w:val="000000"/>
          <w:sz w:val="21"/>
        </w:rPr>
        <w:t xml:space="preserve">Crescent cautions you that statements contained in this press release regarding matters that are not historical facts are forward-looking statements. The forward-looking statements are based on our current beliefs and expectations and include, but are not limited to: our expectations regarding the expected closing of the offering and the potential exercise of the option to purchase additional ordinary shares. Actual results may differ from those set forth in this press release due to the risks and uncertainties associated with market conditions and the satisfaction of customary closing conditions related to the offering, as well as risks and uncertainties inherent in our business described in our prior filings with the SEC, including under the heading “Risk Factors” in our annual report on Form 10-K for the year ended December 31, 2025, our quarterly report on Form 10-Q for the quarter ended March 31, 2026, and any subsequent current reports on Form 8-K or other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lineRule="auto" w:line="288" w:before="0" w:after="160"/>
        <w:jc w:val="left"/>
        <w:rPr>
          <w:rFonts w:ascii="Arial;sans-serif" w:hAnsi="Arial;sans-serif"/>
          <w:b/>
          <w:color w:val="000000"/>
          <w:sz w:val="21"/>
        </w:rPr>
      </w:pPr>
      <w:r>
        <w:rPr>
          <w:rFonts w:ascii="Arial;sans-serif" w:hAnsi="Arial;sans-serif"/>
          <w:b/>
          <w:color w:val="000000"/>
          <w:sz w:val="21"/>
        </w:rPr>
        <w:t>Contacts</w:t>
      </w:r>
    </w:p>
    <w:p>
      <w:pPr>
        <w:pStyle w:val="TextBody"/>
        <w:bidi w:val="0"/>
        <w:spacing w:lineRule="auto" w:line="288" w:before="0" w:after="160"/>
        <w:jc w:val="left"/>
        <w:rPr>
          <w:rFonts w:ascii="Arial;sans-serif" w:hAnsi="Arial;sans-serif"/>
          <w:b/>
          <w:color w:val="000000"/>
          <w:sz w:val="21"/>
        </w:rPr>
      </w:pPr>
      <w:r>
        <w:rPr>
          <w:rFonts w:ascii="Arial;sans-serif" w:hAnsi="Arial;sans-serif"/>
          <w:b/>
          <w:color w:val="000000"/>
          <w:sz w:val="21"/>
        </w:rPr>
        <w:t>Investors</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Amy Reilly</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Chief Communications Officer</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amy.reilly@crescentbiopharma.com</w:t>
      </w:r>
    </w:p>
    <w:p>
      <w:pPr>
        <w:pStyle w:val="TextBody"/>
        <w:bidi w:val="0"/>
        <w:spacing w:lineRule="auto" w:line="288" w:before="0" w:after="160"/>
        <w:jc w:val="left"/>
        <w:rPr>
          <w:rFonts w:ascii="Arial;sans-serif" w:hAnsi="Arial;sans-serif"/>
          <w:b w:val="false"/>
          <w:color w:val="000000"/>
          <w:sz w:val="21"/>
        </w:rPr>
      </w:pPr>
      <w:r>
        <w:rPr>
          <w:rFonts w:ascii="Arial;sans-serif" w:hAnsi="Arial;sans-serif"/>
          <w:b w:val="false"/>
          <w:color w:val="000000"/>
          <w:sz w:val="21"/>
        </w:rPr>
        <w:t>617-465-0586</w:t>
      </w:r>
    </w:p>
    <w:p>
      <w:pPr>
        <w:pStyle w:val="TextBody"/>
        <w:bidi w:val="0"/>
        <w:spacing w:lineRule="auto" w:line="288" w:before="0" w:after="160"/>
        <w:jc w:val="left"/>
        <w:rPr>
          <w:rFonts w:ascii="Arial;sans-serif" w:hAnsi="Arial;sans-serif"/>
          <w:b/>
          <w:color w:val="000000"/>
          <w:sz w:val="21"/>
        </w:rPr>
      </w:pPr>
      <w:r>
        <w:rPr>
          <w:rFonts w:ascii="Arial;sans-serif" w:hAnsi="Arial;sans-serif"/>
          <w:b/>
          <w:color w:val="000000"/>
          <w:sz w:val="21"/>
        </w:rPr>
        <w:t>Media</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Jenna Poist</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Director, Corporate Communications</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jenna.poist@crescentbiopharma.com</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781-671-5019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6" name="Frame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4.pn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43980</Words>
  <Characters>235403</Characters>
  <CharactersWithSpaces>279426</CharactersWithSpaces>
  <Paragraphs>744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