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Lynch Ryan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000" w:type="dxa"/>
            <w:vAlign w:val="bottom"/>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CRESCENT BIOPHARMA,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FIFTH AVENUE</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CRESCENT BIOPHARMA,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CBIO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2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3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06/22/2026</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line="320" w:lineRule="exact"/>
              <w:rPr>
                <w:sz w:val="20"/>
                <w:szCs w:val="20"/>
                <w:color w:val="auto"/>
              </w:rPr>
            </w:pPr>
            <w:r>
              <w:rPr>
                <w:rFonts w:ascii="Times New Roman" w:cs="Times New Roman" w:eastAsia="Times New Roman" w:hAnsi="Times New Roman"/>
                <w:sz w:val="34"/>
                <w:szCs w:val="34"/>
                <w:color w:val="0000FF"/>
                <w:vertAlign w:val="subscript"/>
              </w:rPr>
              <w:t>465</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17.99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13,871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automatically sold by the Reporting Person to satisfy tax withholding obligations in connection with the settlement of restricted stock units granted to the Reporting Person on December 15, 2025. The sales reported in this Form 4 were effected pursuant to a Rule 10b5-1 instruction adopted by the Reporting Person on February 25, 2026, solely with the intent to cover taxes in connection with the vesting of the restricted stock units.</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$16.88 to $18.86,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Treasurer, Senior Vice President of Finance and Chief Accounting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Barbara Bispham,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4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Ryan</w:t>
      </w:r>
      <w:r>
        <w:rPr>
          <w:sz w:val="20"/>
          <w:szCs w:val="20"/>
          <w:color w:val="auto"/>
        </w:rPr>
        <w:tab/>
      </w: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Lynch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09271" TargetMode="External"/><Relationship Id="rId14" Type="http://schemas.openxmlformats.org/officeDocument/2006/relationships/hyperlink" Target="http://www.sec.gov/cgi-bin/browse-edgar?action=getcompany&amp;CIK=00012536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2026-06-23T15:06:55Z</dcterms:created>
  <dcterms:modified xsi:type="dcterms:W3CDTF">2026-06-23T15:06:55Z</dcterms:modified>
</cp:coreProperties>
</file>