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Crescent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1,662,917.00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1,662,917.00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1,662,917.00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1,662,917.00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1,662,917.00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1,662,917.00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Crescent Biopharma,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Fifth Avenue, Waltham, MA, 02451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Private Holdings (Cayman) Ltd. ("APHC"), the direct holder of 670,000 shares of common stock, reported herein, and by virtue of its position as the investment manager of Atlas Diversified Master Fund, Ltd. ("ADMF"), the direct holder of the 992,917 shares of common stock, par value $0.001 per share ("Shares"), reported herein, BAM may be deemed to exercise voting and investment power over such Shares held by APHC and ADMF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thus may be deemed to beneficially own such Shares. By virtue of its position as the General Partner of BAM Holdings, Dames may be deemed to exercise voting and investment power over the Shares held directly by ADMF and APHC thus may be deemed to beneficially own such Shares. By virtue of his position as the Managing Member of Dames, Mr. Balyasny may be deemed to exercise voting and investment power over the Shares held directly by ADMF and APHC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6.03% of the Shares, based on 27,571,935 7 Shares of class A common stock outstanding as of April 24, 2026 as reported in the Issuer's Quarterly Report on Form 10-Q/A as filed with the Securities Exchange Commision on June 22,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1662917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1662917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1858</Words>
  <Characters>9416</Characters>
  <CharactersWithSpaces>11184</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